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03689E" w14:textId="77777777" w:rsidR="000A62A0" w:rsidRDefault="000A62A0" w:rsidP="00F103EF">
      <w:pPr>
        <w:spacing w:line="360" w:lineRule="auto"/>
        <w:jc w:val="center"/>
        <w:rPr>
          <w:b/>
          <w:bCs/>
          <w:sz w:val="28"/>
          <w:szCs w:val="28"/>
          <w:u w:val="single"/>
        </w:rPr>
      </w:pPr>
    </w:p>
    <w:p w14:paraId="42A3624F" w14:textId="77777777" w:rsidR="000A62A0" w:rsidRDefault="000A62A0" w:rsidP="00F103EF">
      <w:pPr>
        <w:spacing w:line="360" w:lineRule="auto"/>
        <w:jc w:val="center"/>
        <w:rPr>
          <w:b/>
          <w:bCs/>
          <w:sz w:val="28"/>
          <w:szCs w:val="28"/>
          <w:u w:val="single"/>
        </w:rPr>
      </w:pPr>
    </w:p>
    <w:p w14:paraId="2DB8B7D9" w14:textId="77777777" w:rsidR="000A62A0" w:rsidRDefault="000A62A0" w:rsidP="00F103EF">
      <w:pPr>
        <w:spacing w:line="360" w:lineRule="auto"/>
        <w:jc w:val="center"/>
        <w:rPr>
          <w:b/>
          <w:bCs/>
          <w:sz w:val="28"/>
          <w:szCs w:val="28"/>
          <w:u w:val="single"/>
        </w:rPr>
      </w:pPr>
    </w:p>
    <w:p w14:paraId="03179FEA" w14:textId="77777777" w:rsidR="000A62A0" w:rsidRDefault="000A62A0" w:rsidP="00F103EF">
      <w:pPr>
        <w:spacing w:line="360" w:lineRule="auto"/>
        <w:jc w:val="center"/>
        <w:rPr>
          <w:b/>
          <w:bCs/>
          <w:sz w:val="28"/>
          <w:szCs w:val="28"/>
          <w:u w:val="single"/>
        </w:rPr>
      </w:pPr>
    </w:p>
    <w:p w14:paraId="0EFF6E90" w14:textId="77777777" w:rsidR="000A62A0" w:rsidRDefault="000A62A0" w:rsidP="00F103EF">
      <w:pPr>
        <w:spacing w:line="360" w:lineRule="auto"/>
        <w:jc w:val="center"/>
        <w:rPr>
          <w:b/>
          <w:bCs/>
          <w:sz w:val="28"/>
          <w:szCs w:val="28"/>
          <w:u w:val="single"/>
        </w:rPr>
      </w:pPr>
    </w:p>
    <w:p w14:paraId="7D0B5C19" w14:textId="77777777" w:rsidR="000A62A0" w:rsidRDefault="000A62A0" w:rsidP="00F103EF">
      <w:pPr>
        <w:spacing w:line="360" w:lineRule="auto"/>
        <w:jc w:val="center"/>
        <w:rPr>
          <w:b/>
          <w:bCs/>
          <w:sz w:val="28"/>
          <w:szCs w:val="28"/>
          <w:u w:val="single"/>
        </w:rPr>
      </w:pPr>
    </w:p>
    <w:p w14:paraId="221658FE" w14:textId="77777777" w:rsidR="000A62A0" w:rsidRDefault="000A62A0" w:rsidP="00F103EF">
      <w:pPr>
        <w:spacing w:line="360" w:lineRule="auto"/>
        <w:jc w:val="center"/>
        <w:rPr>
          <w:b/>
          <w:bCs/>
          <w:sz w:val="28"/>
          <w:szCs w:val="28"/>
          <w:u w:val="single"/>
        </w:rPr>
      </w:pPr>
    </w:p>
    <w:p w14:paraId="71C192E4" w14:textId="77777777" w:rsidR="000A62A0" w:rsidRDefault="000A62A0" w:rsidP="00F103EF">
      <w:pPr>
        <w:spacing w:line="360" w:lineRule="auto"/>
        <w:jc w:val="center"/>
        <w:rPr>
          <w:b/>
          <w:bCs/>
          <w:sz w:val="28"/>
          <w:szCs w:val="28"/>
          <w:u w:val="single"/>
        </w:rPr>
      </w:pPr>
    </w:p>
    <w:p w14:paraId="220234F8" w14:textId="77777777" w:rsidR="000A62A0" w:rsidRDefault="000A62A0" w:rsidP="00F103EF">
      <w:pPr>
        <w:spacing w:line="360" w:lineRule="auto"/>
        <w:jc w:val="center"/>
        <w:rPr>
          <w:b/>
          <w:bCs/>
          <w:sz w:val="28"/>
          <w:szCs w:val="28"/>
          <w:u w:val="single"/>
        </w:rPr>
      </w:pPr>
    </w:p>
    <w:p w14:paraId="079C3CA2" w14:textId="77777777" w:rsidR="000A62A0" w:rsidRDefault="000A62A0" w:rsidP="00F103EF">
      <w:pPr>
        <w:spacing w:line="360" w:lineRule="auto"/>
        <w:jc w:val="center"/>
        <w:rPr>
          <w:b/>
          <w:bCs/>
          <w:sz w:val="28"/>
          <w:szCs w:val="28"/>
          <w:u w:val="single"/>
        </w:rPr>
      </w:pPr>
    </w:p>
    <w:p w14:paraId="4D5429DE" w14:textId="49B6DF2A" w:rsidR="00904437" w:rsidRDefault="003663F3" w:rsidP="00F103EF">
      <w:pPr>
        <w:spacing w:line="360" w:lineRule="auto"/>
        <w:jc w:val="center"/>
        <w:rPr>
          <w:b/>
          <w:bCs/>
          <w:sz w:val="28"/>
          <w:szCs w:val="28"/>
          <w:u w:val="single"/>
        </w:rPr>
      </w:pPr>
      <w:r w:rsidRPr="003663F3">
        <w:rPr>
          <w:b/>
          <w:bCs/>
          <w:sz w:val="28"/>
          <w:szCs w:val="28"/>
          <w:u w:val="single"/>
        </w:rPr>
        <w:t>TRANSGENDER COMMUNITY AND PROPERTY RIGHTS IN INDIA</w:t>
      </w:r>
    </w:p>
    <w:p w14:paraId="567EE626" w14:textId="19827940" w:rsidR="003663F3" w:rsidRDefault="003663F3" w:rsidP="00F103EF">
      <w:pPr>
        <w:pStyle w:val="ListParagraph"/>
        <w:numPr>
          <w:ilvl w:val="0"/>
          <w:numId w:val="1"/>
        </w:numPr>
        <w:spacing w:line="360" w:lineRule="auto"/>
        <w:jc w:val="right"/>
        <w:rPr>
          <w:b/>
          <w:bCs/>
          <w:i/>
          <w:iCs/>
        </w:rPr>
      </w:pPr>
      <w:r>
        <w:rPr>
          <w:b/>
          <w:bCs/>
          <w:i/>
          <w:iCs/>
        </w:rPr>
        <w:t>Priyanka Saha</w:t>
      </w:r>
    </w:p>
    <w:p w14:paraId="2F23DA9D" w14:textId="77777777" w:rsidR="000A62A0" w:rsidRDefault="000A62A0"/>
    <w:p w14:paraId="78AFCF67" w14:textId="77777777" w:rsidR="000A62A0" w:rsidRDefault="000A62A0">
      <w:r>
        <w:br w:type="page"/>
      </w:r>
    </w:p>
    <w:p w14:paraId="51A41055" w14:textId="77777777" w:rsidR="00E9545C" w:rsidRDefault="00A87EC7" w:rsidP="00A87EC7">
      <w:pPr>
        <w:pBdr>
          <w:top w:val="threeDEngrave" w:sz="24" w:space="1" w:color="auto"/>
          <w:bottom w:val="threeDEmboss" w:sz="24" w:space="1" w:color="auto"/>
        </w:pBdr>
        <w:shd w:val="pct5" w:color="auto" w:fill="auto"/>
        <w:jc w:val="center"/>
        <w:rPr>
          <w:b/>
          <w:bCs/>
          <w:smallCaps/>
        </w:rPr>
      </w:pPr>
      <w:r w:rsidRPr="00A87EC7">
        <w:rPr>
          <w:b/>
          <w:bCs/>
          <w:smallCaps/>
        </w:rPr>
        <w:lastRenderedPageBreak/>
        <w:t>Table Of Contents</w:t>
      </w:r>
    </w:p>
    <w:p w14:paraId="6B6C3A97" w14:textId="77777777" w:rsidR="00E9545C" w:rsidRDefault="00E9545C" w:rsidP="00E9545C"/>
    <w:p w14:paraId="69180E35" w14:textId="2B31082F" w:rsidR="00E9545C" w:rsidRPr="00E9545C" w:rsidRDefault="00E9545C" w:rsidP="00E9545C">
      <w:pPr>
        <w:pStyle w:val="TOC1"/>
        <w:tabs>
          <w:tab w:val="right" w:leader="dot" w:pos="9350"/>
        </w:tabs>
        <w:spacing w:line="360" w:lineRule="auto"/>
        <w:jc w:val="both"/>
        <w:rPr>
          <w:smallCaps/>
          <w:noProof/>
        </w:rPr>
      </w:pPr>
      <w:r w:rsidRPr="00E9545C">
        <w:rPr>
          <w:smallCaps/>
        </w:rPr>
        <w:fldChar w:fldCharType="begin"/>
      </w:r>
      <w:r w:rsidRPr="00E9545C">
        <w:rPr>
          <w:smallCaps/>
        </w:rPr>
        <w:instrText xml:space="preserve"> TOC \o "1-3" \h \z \u </w:instrText>
      </w:r>
      <w:r w:rsidRPr="00E9545C">
        <w:rPr>
          <w:smallCaps/>
        </w:rPr>
        <w:fldChar w:fldCharType="separate"/>
      </w:r>
      <w:hyperlink w:anchor="_Toc95726826" w:history="1">
        <w:r w:rsidRPr="00E9545C">
          <w:rPr>
            <w:rStyle w:val="Hyperlink"/>
            <w:smallCaps/>
            <w:noProof/>
          </w:rPr>
          <w:t>Introduction</w:t>
        </w:r>
        <w:r w:rsidRPr="00E9545C">
          <w:rPr>
            <w:smallCaps/>
            <w:noProof/>
            <w:webHidden/>
          </w:rPr>
          <w:tab/>
        </w:r>
        <w:r w:rsidRPr="00E9545C">
          <w:rPr>
            <w:smallCaps/>
            <w:noProof/>
            <w:webHidden/>
          </w:rPr>
          <w:fldChar w:fldCharType="begin"/>
        </w:r>
        <w:r w:rsidRPr="00E9545C">
          <w:rPr>
            <w:smallCaps/>
            <w:noProof/>
            <w:webHidden/>
          </w:rPr>
          <w:instrText xml:space="preserve"> PAGEREF _Toc95726826 \h </w:instrText>
        </w:r>
        <w:r w:rsidRPr="00E9545C">
          <w:rPr>
            <w:smallCaps/>
            <w:noProof/>
            <w:webHidden/>
          </w:rPr>
        </w:r>
        <w:r w:rsidRPr="00E9545C">
          <w:rPr>
            <w:smallCaps/>
            <w:noProof/>
            <w:webHidden/>
          </w:rPr>
          <w:fldChar w:fldCharType="separate"/>
        </w:r>
        <w:r w:rsidRPr="00E9545C">
          <w:rPr>
            <w:smallCaps/>
            <w:noProof/>
            <w:webHidden/>
          </w:rPr>
          <w:t>3</w:t>
        </w:r>
        <w:r w:rsidRPr="00E9545C">
          <w:rPr>
            <w:smallCaps/>
            <w:noProof/>
            <w:webHidden/>
          </w:rPr>
          <w:fldChar w:fldCharType="end"/>
        </w:r>
      </w:hyperlink>
    </w:p>
    <w:p w14:paraId="5AE601AF" w14:textId="2A839101" w:rsidR="00E9545C" w:rsidRPr="00E9545C" w:rsidRDefault="003D035E" w:rsidP="00E9545C">
      <w:pPr>
        <w:pStyle w:val="TOC1"/>
        <w:tabs>
          <w:tab w:val="right" w:leader="dot" w:pos="9350"/>
        </w:tabs>
        <w:spacing w:line="360" w:lineRule="auto"/>
        <w:jc w:val="both"/>
        <w:rPr>
          <w:smallCaps/>
          <w:noProof/>
        </w:rPr>
      </w:pPr>
      <w:hyperlink w:anchor="_Toc95726827" w:history="1">
        <w:r w:rsidR="00E9545C" w:rsidRPr="00E9545C">
          <w:rPr>
            <w:rStyle w:val="Hyperlink"/>
            <w:smallCaps/>
            <w:noProof/>
          </w:rPr>
          <w:t>Right Of Transgenders In India</w:t>
        </w:r>
        <w:r w:rsidR="00E9545C" w:rsidRPr="00E9545C">
          <w:rPr>
            <w:smallCaps/>
            <w:noProof/>
            <w:webHidden/>
          </w:rPr>
          <w:tab/>
        </w:r>
        <w:r w:rsidR="00E9545C" w:rsidRPr="00E9545C">
          <w:rPr>
            <w:smallCaps/>
            <w:noProof/>
            <w:webHidden/>
          </w:rPr>
          <w:fldChar w:fldCharType="begin"/>
        </w:r>
        <w:r w:rsidR="00E9545C" w:rsidRPr="00E9545C">
          <w:rPr>
            <w:smallCaps/>
            <w:noProof/>
            <w:webHidden/>
          </w:rPr>
          <w:instrText xml:space="preserve"> PAGEREF _Toc95726827 \h </w:instrText>
        </w:r>
        <w:r w:rsidR="00E9545C" w:rsidRPr="00E9545C">
          <w:rPr>
            <w:smallCaps/>
            <w:noProof/>
            <w:webHidden/>
          </w:rPr>
        </w:r>
        <w:r w:rsidR="00E9545C" w:rsidRPr="00E9545C">
          <w:rPr>
            <w:smallCaps/>
            <w:noProof/>
            <w:webHidden/>
          </w:rPr>
          <w:fldChar w:fldCharType="separate"/>
        </w:r>
        <w:r w:rsidR="00E9545C" w:rsidRPr="00E9545C">
          <w:rPr>
            <w:smallCaps/>
            <w:noProof/>
            <w:webHidden/>
          </w:rPr>
          <w:t>3</w:t>
        </w:r>
        <w:r w:rsidR="00E9545C" w:rsidRPr="00E9545C">
          <w:rPr>
            <w:smallCaps/>
            <w:noProof/>
            <w:webHidden/>
          </w:rPr>
          <w:fldChar w:fldCharType="end"/>
        </w:r>
      </w:hyperlink>
    </w:p>
    <w:p w14:paraId="44DB8F22" w14:textId="505642FA" w:rsidR="00E9545C" w:rsidRPr="00E9545C" w:rsidRDefault="003D035E" w:rsidP="00E9545C">
      <w:pPr>
        <w:pStyle w:val="TOC2"/>
        <w:tabs>
          <w:tab w:val="right" w:leader="dot" w:pos="9350"/>
        </w:tabs>
        <w:spacing w:line="360" w:lineRule="auto"/>
        <w:jc w:val="both"/>
        <w:rPr>
          <w:smallCaps/>
          <w:noProof/>
        </w:rPr>
      </w:pPr>
      <w:hyperlink w:anchor="_Toc95726828" w:history="1">
        <w:r w:rsidR="00E9545C" w:rsidRPr="00E9545C">
          <w:rPr>
            <w:rStyle w:val="Hyperlink"/>
            <w:smallCaps/>
            <w:noProof/>
          </w:rPr>
          <w:t>Hindu Succession Act, 1956</w:t>
        </w:r>
        <w:r w:rsidR="00E9545C" w:rsidRPr="00E9545C">
          <w:rPr>
            <w:smallCaps/>
            <w:noProof/>
            <w:webHidden/>
          </w:rPr>
          <w:tab/>
        </w:r>
        <w:r w:rsidR="00E9545C" w:rsidRPr="00E9545C">
          <w:rPr>
            <w:smallCaps/>
            <w:noProof/>
            <w:webHidden/>
          </w:rPr>
          <w:fldChar w:fldCharType="begin"/>
        </w:r>
        <w:r w:rsidR="00E9545C" w:rsidRPr="00E9545C">
          <w:rPr>
            <w:smallCaps/>
            <w:noProof/>
            <w:webHidden/>
          </w:rPr>
          <w:instrText xml:space="preserve"> PAGEREF _Toc95726828 \h </w:instrText>
        </w:r>
        <w:r w:rsidR="00E9545C" w:rsidRPr="00E9545C">
          <w:rPr>
            <w:smallCaps/>
            <w:noProof/>
            <w:webHidden/>
          </w:rPr>
        </w:r>
        <w:r w:rsidR="00E9545C" w:rsidRPr="00E9545C">
          <w:rPr>
            <w:smallCaps/>
            <w:noProof/>
            <w:webHidden/>
          </w:rPr>
          <w:fldChar w:fldCharType="separate"/>
        </w:r>
        <w:r w:rsidR="00E9545C" w:rsidRPr="00E9545C">
          <w:rPr>
            <w:smallCaps/>
            <w:noProof/>
            <w:webHidden/>
          </w:rPr>
          <w:t>5</w:t>
        </w:r>
        <w:r w:rsidR="00E9545C" w:rsidRPr="00E9545C">
          <w:rPr>
            <w:smallCaps/>
            <w:noProof/>
            <w:webHidden/>
          </w:rPr>
          <w:fldChar w:fldCharType="end"/>
        </w:r>
      </w:hyperlink>
    </w:p>
    <w:p w14:paraId="360EEF28" w14:textId="72333750" w:rsidR="00E9545C" w:rsidRPr="00E9545C" w:rsidRDefault="003D035E" w:rsidP="00E9545C">
      <w:pPr>
        <w:pStyle w:val="TOC2"/>
        <w:tabs>
          <w:tab w:val="right" w:leader="dot" w:pos="9350"/>
        </w:tabs>
        <w:spacing w:line="360" w:lineRule="auto"/>
        <w:jc w:val="both"/>
        <w:rPr>
          <w:smallCaps/>
          <w:noProof/>
        </w:rPr>
      </w:pPr>
      <w:hyperlink w:anchor="_Toc95726829" w:history="1">
        <w:r w:rsidR="00E9545C" w:rsidRPr="00E9545C">
          <w:rPr>
            <w:rStyle w:val="Hyperlink"/>
            <w:smallCaps/>
            <w:noProof/>
          </w:rPr>
          <w:t>Muslim Personal Law (Shariat) Application Act</w:t>
        </w:r>
        <w:r w:rsidR="00E9545C" w:rsidRPr="00E9545C">
          <w:rPr>
            <w:smallCaps/>
            <w:noProof/>
            <w:webHidden/>
          </w:rPr>
          <w:tab/>
        </w:r>
        <w:r w:rsidR="00E9545C" w:rsidRPr="00E9545C">
          <w:rPr>
            <w:smallCaps/>
            <w:noProof/>
            <w:webHidden/>
          </w:rPr>
          <w:fldChar w:fldCharType="begin"/>
        </w:r>
        <w:r w:rsidR="00E9545C" w:rsidRPr="00E9545C">
          <w:rPr>
            <w:smallCaps/>
            <w:noProof/>
            <w:webHidden/>
          </w:rPr>
          <w:instrText xml:space="preserve"> PAGEREF _Toc95726829 \h </w:instrText>
        </w:r>
        <w:r w:rsidR="00E9545C" w:rsidRPr="00E9545C">
          <w:rPr>
            <w:smallCaps/>
            <w:noProof/>
            <w:webHidden/>
          </w:rPr>
        </w:r>
        <w:r w:rsidR="00E9545C" w:rsidRPr="00E9545C">
          <w:rPr>
            <w:smallCaps/>
            <w:noProof/>
            <w:webHidden/>
          </w:rPr>
          <w:fldChar w:fldCharType="separate"/>
        </w:r>
        <w:r w:rsidR="00E9545C" w:rsidRPr="00E9545C">
          <w:rPr>
            <w:smallCaps/>
            <w:noProof/>
            <w:webHidden/>
          </w:rPr>
          <w:t>6</w:t>
        </w:r>
        <w:r w:rsidR="00E9545C" w:rsidRPr="00E9545C">
          <w:rPr>
            <w:smallCaps/>
            <w:noProof/>
            <w:webHidden/>
          </w:rPr>
          <w:fldChar w:fldCharType="end"/>
        </w:r>
      </w:hyperlink>
    </w:p>
    <w:p w14:paraId="75F9A945" w14:textId="111C5403" w:rsidR="00E9545C" w:rsidRPr="00E9545C" w:rsidRDefault="003D035E" w:rsidP="00E9545C">
      <w:pPr>
        <w:pStyle w:val="TOC1"/>
        <w:tabs>
          <w:tab w:val="right" w:leader="dot" w:pos="9350"/>
        </w:tabs>
        <w:spacing w:line="360" w:lineRule="auto"/>
        <w:jc w:val="both"/>
        <w:rPr>
          <w:smallCaps/>
          <w:noProof/>
        </w:rPr>
      </w:pPr>
      <w:hyperlink w:anchor="_Toc95726830" w:history="1">
        <w:r w:rsidR="00E9545C" w:rsidRPr="00E9545C">
          <w:rPr>
            <w:rStyle w:val="Hyperlink"/>
            <w:smallCaps/>
            <w:noProof/>
          </w:rPr>
          <w:t>Requirement For Judicial Intervention</w:t>
        </w:r>
        <w:r w:rsidR="00E9545C" w:rsidRPr="00E9545C">
          <w:rPr>
            <w:smallCaps/>
            <w:noProof/>
            <w:webHidden/>
          </w:rPr>
          <w:tab/>
        </w:r>
        <w:r w:rsidR="00E9545C" w:rsidRPr="00E9545C">
          <w:rPr>
            <w:smallCaps/>
            <w:noProof/>
            <w:webHidden/>
          </w:rPr>
          <w:fldChar w:fldCharType="begin"/>
        </w:r>
        <w:r w:rsidR="00E9545C" w:rsidRPr="00E9545C">
          <w:rPr>
            <w:smallCaps/>
            <w:noProof/>
            <w:webHidden/>
          </w:rPr>
          <w:instrText xml:space="preserve"> PAGEREF _Toc95726830 \h </w:instrText>
        </w:r>
        <w:r w:rsidR="00E9545C" w:rsidRPr="00E9545C">
          <w:rPr>
            <w:smallCaps/>
            <w:noProof/>
            <w:webHidden/>
          </w:rPr>
        </w:r>
        <w:r w:rsidR="00E9545C" w:rsidRPr="00E9545C">
          <w:rPr>
            <w:smallCaps/>
            <w:noProof/>
            <w:webHidden/>
          </w:rPr>
          <w:fldChar w:fldCharType="separate"/>
        </w:r>
        <w:r w:rsidR="00E9545C" w:rsidRPr="00E9545C">
          <w:rPr>
            <w:smallCaps/>
            <w:noProof/>
            <w:webHidden/>
          </w:rPr>
          <w:t>6</w:t>
        </w:r>
        <w:r w:rsidR="00E9545C" w:rsidRPr="00E9545C">
          <w:rPr>
            <w:smallCaps/>
            <w:noProof/>
            <w:webHidden/>
          </w:rPr>
          <w:fldChar w:fldCharType="end"/>
        </w:r>
      </w:hyperlink>
    </w:p>
    <w:p w14:paraId="05DFB0CF" w14:textId="74EE2116" w:rsidR="00E9545C" w:rsidRPr="00E9545C" w:rsidRDefault="003D035E" w:rsidP="00E9545C">
      <w:pPr>
        <w:pStyle w:val="TOC1"/>
        <w:tabs>
          <w:tab w:val="right" w:leader="dot" w:pos="9350"/>
        </w:tabs>
        <w:spacing w:line="360" w:lineRule="auto"/>
        <w:jc w:val="both"/>
        <w:rPr>
          <w:smallCaps/>
          <w:noProof/>
        </w:rPr>
      </w:pPr>
      <w:hyperlink w:anchor="_Toc95726831" w:history="1">
        <w:r w:rsidR="00E9545C" w:rsidRPr="00E9545C">
          <w:rPr>
            <w:rStyle w:val="Hyperlink"/>
            <w:smallCaps/>
            <w:noProof/>
          </w:rPr>
          <w:t>Transgender Persons (Protection Of Rights) Act, 2019</w:t>
        </w:r>
        <w:r w:rsidR="00E9545C" w:rsidRPr="00E9545C">
          <w:rPr>
            <w:smallCaps/>
            <w:noProof/>
            <w:webHidden/>
          </w:rPr>
          <w:tab/>
        </w:r>
        <w:r w:rsidR="00E9545C" w:rsidRPr="00E9545C">
          <w:rPr>
            <w:smallCaps/>
            <w:noProof/>
            <w:webHidden/>
          </w:rPr>
          <w:fldChar w:fldCharType="begin"/>
        </w:r>
        <w:r w:rsidR="00E9545C" w:rsidRPr="00E9545C">
          <w:rPr>
            <w:smallCaps/>
            <w:noProof/>
            <w:webHidden/>
          </w:rPr>
          <w:instrText xml:space="preserve"> PAGEREF _Toc95726831 \h </w:instrText>
        </w:r>
        <w:r w:rsidR="00E9545C" w:rsidRPr="00E9545C">
          <w:rPr>
            <w:smallCaps/>
            <w:noProof/>
            <w:webHidden/>
          </w:rPr>
        </w:r>
        <w:r w:rsidR="00E9545C" w:rsidRPr="00E9545C">
          <w:rPr>
            <w:smallCaps/>
            <w:noProof/>
            <w:webHidden/>
          </w:rPr>
          <w:fldChar w:fldCharType="separate"/>
        </w:r>
        <w:r w:rsidR="00E9545C" w:rsidRPr="00E9545C">
          <w:rPr>
            <w:smallCaps/>
            <w:noProof/>
            <w:webHidden/>
          </w:rPr>
          <w:t>7</w:t>
        </w:r>
        <w:r w:rsidR="00E9545C" w:rsidRPr="00E9545C">
          <w:rPr>
            <w:smallCaps/>
            <w:noProof/>
            <w:webHidden/>
          </w:rPr>
          <w:fldChar w:fldCharType="end"/>
        </w:r>
      </w:hyperlink>
    </w:p>
    <w:p w14:paraId="718EA8AC" w14:textId="2B7DE317" w:rsidR="00E9545C" w:rsidRPr="00E9545C" w:rsidRDefault="003D035E" w:rsidP="00E9545C">
      <w:pPr>
        <w:pStyle w:val="TOC1"/>
        <w:tabs>
          <w:tab w:val="right" w:leader="dot" w:pos="9350"/>
        </w:tabs>
        <w:spacing w:line="360" w:lineRule="auto"/>
        <w:jc w:val="both"/>
        <w:rPr>
          <w:smallCaps/>
          <w:noProof/>
        </w:rPr>
      </w:pPr>
      <w:hyperlink w:anchor="_Toc95726832" w:history="1">
        <w:r w:rsidR="00E9545C" w:rsidRPr="00E9545C">
          <w:rPr>
            <w:rStyle w:val="Hyperlink"/>
            <w:smallCaps/>
            <w:noProof/>
          </w:rPr>
          <w:t>Conclusion</w:t>
        </w:r>
        <w:r w:rsidR="00E9545C" w:rsidRPr="00E9545C">
          <w:rPr>
            <w:smallCaps/>
            <w:noProof/>
            <w:webHidden/>
          </w:rPr>
          <w:tab/>
        </w:r>
        <w:r w:rsidR="00E9545C" w:rsidRPr="00E9545C">
          <w:rPr>
            <w:smallCaps/>
            <w:noProof/>
            <w:webHidden/>
          </w:rPr>
          <w:fldChar w:fldCharType="begin"/>
        </w:r>
        <w:r w:rsidR="00E9545C" w:rsidRPr="00E9545C">
          <w:rPr>
            <w:smallCaps/>
            <w:noProof/>
            <w:webHidden/>
          </w:rPr>
          <w:instrText xml:space="preserve"> PAGEREF _Toc95726832 \h </w:instrText>
        </w:r>
        <w:r w:rsidR="00E9545C" w:rsidRPr="00E9545C">
          <w:rPr>
            <w:smallCaps/>
            <w:noProof/>
            <w:webHidden/>
          </w:rPr>
        </w:r>
        <w:r w:rsidR="00E9545C" w:rsidRPr="00E9545C">
          <w:rPr>
            <w:smallCaps/>
            <w:noProof/>
            <w:webHidden/>
          </w:rPr>
          <w:fldChar w:fldCharType="separate"/>
        </w:r>
        <w:r w:rsidR="00E9545C" w:rsidRPr="00E9545C">
          <w:rPr>
            <w:smallCaps/>
            <w:noProof/>
            <w:webHidden/>
          </w:rPr>
          <w:t>8</w:t>
        </w:r>
        <w:r w:rsidR="00E9545C" w:rsidRPr="00E9545C">
          <w:rPr>
            <w:smallCaps/>
            <w:noProof/>
            <w:webHidden/>
          </w:rPr>
          <w:fldChar w:fldCharType="end"/>
        </w:r>
      </w:hyperlink>
    </w:p>
    <w:p w14:paraId="1AF4E80D" w14:textId="08E9C686" w:rsidR="000A62A0" w:rsidRPr="00A87EC7" w:rsidRDefault="00E9545C" w:rsidP="00E9545C">
      <w:pPr>
        <w:spacing w:line="360" w:lineRule="auto"/>
        <w:jc w:val="both"/>
      </w:pPr>
      <w:r w:rsidRPr="00E9545C">
        <w:rPr>
          <w:smallCaps/>
        </w:rPr>
        <w:fldChar w:fldCharType="end"/>
      </w:r>
      <w:r w:rsidR="000A62A0" w:rsidRPr="00A87EC7">
        <w:br w:type="page"/>
      </w:r>
    </w:p>
    <w:p w14:paraId="3D724472" w14:textId="6CE7FD7F" w:rsidR="003663F3" w:rsidRPr="00A87EC7" w:rsidRDefault="003663F3" w:rsidP="00A87EC7">
      <w:pPr>
        <w:pStyle w:val="Heading1"/>
      </w:pPr>
      <w:bookmarkStart w:id="0" w:name="_Toc95726826"/>
      <w:r w:rsidRPr="00A87EC7">
        <w:lastRenderedPageBreak/>
        <w:t>Introduction</w:t>
      </w:r>
      <w:bookmarkEnd w:id="0"/>
    </w:p>
    <w:p w14:paraId="36A955E6" w14:textId="35B750F2" w:rsidR="00F63E09" w:rsidRDefault="00977EDA" w:rsidP="0055148A">
      <w:pPr>
        <w:tabs>
          <w:tab w:val="left" w:pos="9270"/>
        </w:tabs>
        <w:spacing w:line="360" w:lineRule="auto"/>
        <w:ind w:right="-720"/>
        <w:jc w:val="both"/>
      </w:pPr>
      <w:r>
        <w:t>The transgender community is among one of the most ostracized communities in this nation because they do not correspond to the conventional sets of the gender binary.</w:t>
      </w:r>
      <w:r w:rsidR="005C69AE">
        <w:t xml:space="preserve"> Transgender is a</w:t>
      </w:r>
      <w:r w:rsidR="00C96BBE">
        <w:t xml:space="preserve"> parasol term used for those people whose </w:t>
      </w:r>
      <w:r w:rsidR="007442A0">
        <w:t xml:space="preserve">gender is not identical to the sex they were allocated at birth. The term ‘transsexualism’ was replaced by the term ‘transgenderism’ in the year 1965 by John F. </w:t>
      </w:r>
      <w:proofErr w:type="spellStart"/>
      <w:r w:rsidR="007442A0">
        <w:t>Oliven</w:t>
      </w:r>
      <w:proofErr w:type="spellEnd"/>
      <w:r w:rsidR="007442A0">
        <w:t>, a psychiatrist at Columbia University.</w:t>
      </w:r>
    </w:p>
    <w:p w14:paraId="54A92B21" w14:textId="7246584E" w:rsidR="006D47D0" w:rsidRDefault="006D47D0" w:rsidP="0055148A">
      <w:pPr>
        <w:tabs>
          <w:tab w:val="left" w:pos="9270"/>
        </w:tabs>
        <w:spacing w:line="360" w:lineRule="auto"/>
        <w:ind w:right="-720"/>
        <w:jc w:val="both"/>
      </w:pPr>
      <w:r>
        <w:t>In 2005, post Ajay Mafatlal’s</w:t>
      </w:r>
      <w:r>
        <w:rPr>
          <w:rStyle w:val="FootnoteReference"/>
        </w:rPr>
        <w:footnoteReference w:id="1"/>
      </w:r>
      <w:r>
        <w:t xml:space="preserve"> sex reassignment surgery to transform into a man for acquiring an equal share of the property under Hindu Inheritance law, the inheritance of transgenders’ debate began</w:t>
      </w:r>
      <w:r w:rsidR="00D33F29">
        <w:t>. This instance invigorated a debate for conferring institutional recognition of transgender persons in India. Thus, in 2011, for the first time, the national census permitted people to select ‘others’ for their gender identification.</w:t>
      </w:r>
    </w:p>
    <w:p w14:paraId="0FB69895" w14:textId="4224E17B" w:rsidR="000A62A0" w:rsidRDefault="000A62A0" w:rsidP="0055148A">
      <w:pPr>
        <w:tabs>
          <w:tab w:val="left" w:pos="9270"/>
        </w:tabs>
        <w:spacing w:line="360" w:lineRule="auto"/>
        <w:ind w:right="-720"/>
        <w:jc w:val="both"/>
      </w:pPr>
      <w:r>
        <w:t xml:space="preserve">Transgender people are disadvantaged of their civil rights which also includes the inheritance rights. </w:t>
      </w:r>
      <w:r w:rsidR="00D52AB9">
        <w:t>Now, it has emerged to be the pivotal cause for the low income, lesser savings and no housing access for most of the transgender people.</w:t>
      </w:r>
    </w:p>
    <w:p w14:paraId="16A7745C" w14:textId="3A0217A5" w:rsidR="003663F3" w:rsidRDefault="003663F3" w:rsidP="00A87EC7">
      <w:pPr>
        <w:pStyle w:val="Heading1"/>
      </w:pPr>
      <w:bookmarkStart w:id="1" w:name="_Toc95726827"/>
      <w:r>
        <w:t xml:space="preserve">Right </w:t>
      </w:r>
      <w:r w:rsidR="00A87EC7">
        <w:t xml:space="preserve">Of Transgenders In </w:t>
      </w:r>
      <w:r>
        <w:t>India</w:t>
      </w:r>
      <w:bookmarkEnd w:id="1"/>
    </w:p>
    <w:p w14:paraId="3E9C776D" w14:textId="48FA5DB2" w:rsidR="009E5B16" w:rsidRDefault="00C1064F" w:rsidP="0055148A">
      <w:pPr>
        <w:spacing w:line="360" w:lineRule="auto"/>
        <w:jc w:val="both"/>
      </w:pPr>
      <w:r>
        <w:t>As per the National Human Rights Commission’s study of transgenders</w:t>
      </w:r>
      <w:r w:rsidR="009C6320">
        <w:t>, the total population of transgenders is 4.8 lakhs, among which only 30,000 are registered with the Election Commission. In India, the Human Rights of Transgenders’ study recommended that there are 50 to 60 lakh transgenders in the country, but majority keep it a secret to prevent discrimination.</w:t>
      </w:r>
    </w:p>
    <w:p w14:paraId="47E941CB" w14:textId="23D301BD" w:rsidR="00D1397E" w:rsidRDefault="006C0858" w:rsidP="0055148A">
      <w:pPr>
        <w:spacing w:line="360" w:lineRule="auto"/>
        <w:jc w:val="both"/>
      </w:pPr>
      <w:r>
        <w:t xml:space="preserve">In the landmark judgment of </w:t>
      </w:r>
      <w:r>
        <w:rPr>
          <w:i/>
          <w:iCs/>
        </w:rPr>
        <w:t>NALSA v. Union of India</w:t>
      </w:r>
      <w:r>
        <w:rPr>
          <w:rStyle w:val="FootnoteReference"/>
          <w:i/>
          <w:iCs/>
        </w:rPr>
        <w:footnoteReference w:id="2"/>
      </w:r>
      <w:r w:rsidR="00A97DF6">
        <w:rPr>
          <w:i/>
          <w:iCs/>
        </w:rPr>
        <w:t>,</w:t>
      </w:r>
      <w:r w:rsidR="00A97DF6">
        <w:t xml:space="preserve"> the Supreme Court </w:t>
      </w:r>
      <w:r w:rsidR="0051457C">
        <w:t xml:space="preserve">acknowledged the rights of transgender as the third gender. The court while speaking about their problems </w:t>
      </w:r>
      <w:r w:rsidR="0055148A">
        <w:t xml:space="preserve">instructed the Centre and State governments to consider them as socially and educationally backward classes and offer all types of reservations for their education and employment. The court held that people have the right to self-identification of their sexual orientation </w:t>
      </w:r>
      <w:r w:rsidR="0012545D">
        <w:t xml:space="preserve">even </w:t>
      </w:r>
      <w:r w:rsidR="00491E3D">
        <w:t>with no medical involvement and permit them to select their gender following the sex reassignment surgery.</w:t>
      </w:r>
      <w:r w:rsidR="00590950">
        <w:t xml:space="preserve"> The court </w:t>
      </w:r>
      <w:r w:rsidR="00590950">
        <w:lastRenderedPageBreak/>
        <w:t xml:space="preserve">acknowledged the poor property rights granted to the transgender people but declined to intervene in this matter mainly for the following reasons </w:t>
      </w:r>
      <w:r w:rsidR="004853D2">
        <w:t>–</w:t>
      </w:r>
      <w:r w:rsidR="00590950">
        <w:t xml:space="preserve"> </w:t>
      </w:r>
    </w:p>
    <w:p w14:paraId="79AF2199" w14:textId="40CEA8B8" w:rsidR="004853D2" w:rsidRDefault="004853D2" w:rsidP="004853D2">
      <w:pPr>
        <w:pStyle w:val="ListParagraph"/>
        <w:numPr>
          <w:ilvl w:val="0"/>
          <w:numId w:val="2"/>
        </w:numPr>
        <w:spacing w:line="360" w:lineRule="auto"/>
        <w:jc w:val="both"/>
      </w:pPr>
      <w:r w:rsidRPr="0041019A">
        <w:rPr>
          <w:b/>
          <w:bCs/>
        </w:rPr>
        <w:t>Gendered</w:t>
      </w:r>
      <w:r>
        <w:t xml:space="preserve"> </w:t>
      </w:r>
      <w:r w:rsidRPr="0041019A">
        <w:rPr>
          <w:b/>
          <w:bCs/>
        </w:rPr>
        <w:t>Inheritance</w:t>
      </w:r>
      <w:r>
        <w:t xml:space="preserve"> </w:t>
      </w:r>
      <w:r w:rsidRPr="0041019A">
        <w:rPr>
          <w:b/>
          <w:bCs/>
        </w:rPr>
        <w:t>Laws</w:t>
      </w:r>
      <w:r>
        <w:t xml:space="preserve"> – Our country has a meagre history of gendered laws where inheritance of property is regulated by personal laws of the particular religion and community.</w:t>
      </w:r>
      <w:r w:rsidR="0059446D">
        <w:t xml:space="preserve"> These laws involve gendered terms for which transgender people require to put themselves in a group of either male or female to come inside the realm of inheritance laws. This steers to a challenge and misperception as to how transgender people inherit property if included. </w:t>
      </w:r>
      <w:r w:rsidR="009228ED">
        <w:t xml:space="preserve">The issue about gender discrimination has </w:t>
      </w:r>
      <w:r w:rsidR="00CA3723">
        <w:t xml:space="preserve">been mentioned by the </w:t>
      </w:r>
      <w:r w:rsidR="00CA3723">
        <w:rPr>
          <w:i/>
          <w:iCs/>
        </w:rPr>
        <w:t>Consultation Paper on Reform of Family Law,</w:t>
      </w:r>
      <w:r w:rsidR="00CA3723">
        <w:t xml:space="preserve"> the </w:t>
      </w:r>
      <w:r w:rsidR="00CA3723">
        <w:rPr>
          <w:i/>
          <w:iCs/>
        </w:rPr>
        <w:t>174</w:t>
      </w:r>
      <w:r w:rsidR="00CA3723">
        <w:rPr>
          <w:i/>
          <w:iCs/>
          <w:vertAlign w:val="superscript"/>
        </w:rPr>
        <w:t xml:space="preserve">th </w:t>
      </w:r>
      <w:r w:rsidR="00CA3723">
        <w:rPr>
          <w:i/>
          <w:iCs/>
        </w:rPr>
        <w:t>Report of Law Commission of India,</w:t>
      </w:r>
      <w:r w:rsidR="00CA3723">
        <w:t xml:space="preserve"> and the </w:t>
      </w:r>
      <w:r w:rsidR="00CA3723">
        <w:rPr>
          <w:i/>
          <w:iCs/>
        </w:rPr>
        <w:t>207</w:t>
      </w:r>
      <w:r w:rsidR="00CA3723" w:rsidRPr="00CA3723">
        <w:rPr>
          <w:i/>
          <w:iCs/>
          <w:vertAlign w:val="superscript"/>
        </w:rPr>
        <w:t>th</w:t>
      </w:r>
      <w:r w:rsidR="00CA3723">
        <w:rPr>
          <w:i/>
          <w:iCs/>
        </w:rPr>
        <w:t xml:space="preserve"> Report of Law Commission of India</w:t>
      </w:r>
      <w:r w:rsidR="00CA3723">
        <w:t xml:space="preserve"> but nothing has been deliberated so far regarding how transgender people can be involved in the Inheritance laws.</w:t>
      </w:r>
    </w:p>
    <w:p w14:paraId="532B6313" w14:textId="5097F5F9" w:rsidR="00B56A2E" w:rsidRDefault="00066525" w:rsidP="00B56A2E">
      <w:pPr>
        <w:spacing w:line="360" w:lineRule="auto"/>
        <w:jc w:val="both"/>
      </w:pPr>
      <w:r>
        <w:t xml:space="preserve">The use of gendered terms in different laws reveal intrinsic prejudices in drafting legislation. Particularly, </w:t>
      </w:r>
      <w:r w:rsidRPr="00066525">
        <w:rPr>
          <w:i/>
          <w:iCs/>
        </w:rPr>
        <w:t>S. 13 of the General Clauses Act, 1897</w:t>
      </w:r>
      <w:r>
        <w:t xml:space="preserve"> recommended the term masculine gender shall also involve females as it will aid to offer consistency of expressions in Central Acts. Likewise, </w:t>
      </w:r>
      <w:r>
        <w:rPr>
          <w:i/>
          <w:iCs/>
        </w:rPr>
        <w:t>Article 15 of the Constitution of India</w:t>
      </w:r>
      <w:r>
        <w:t xml:space="preserve"> </w:t>
      </w:r>
      <w:r w:rsidR="00185C30">
        <w:t>outlaws’</w:t>
      </w:r>
      <w:r>
        <w:t xml:space="preserve"> discrimination on the basis of sex, in which the term</w:t>
      </w:r>
      <w:r w:rsidR="00185C30">
        <w:t xml:space="preserve"> ‘</w:t>
      </w:r>
      <w:r>
        <w:t>sex’ jointly involves all genders not just restricted to biological sex as male and female.</w:t>
      </w:r>
    </w:p>
    <w:p w14:paraId="61D27629" w14:textId="02671179" w:rsidR="00E54ADE" w:rsidRPr="00066525" w:rsidRDefault="00185C30" w:rsidP="00185C30">
      <w:pPr>
        <w:pStyle w:val="ListParagraph"/>
        <w:numPr>
          <w:ilvl w:val="0"/>
          <w:numId w:val="2"/>
        </w:numPr>
        <w:spacing w:line="360" w:lineRule="auto"/>
        <w:jc w:val="both"/>
      </w:pPr>
      <w:r w:rsidRPr="0041019A">
        <w:rPr>
          <w:b/>
          <w:bCs/>
        </w:rPr>
        <w:t>Gender</w:t>
      </w:r>
      <w:r>
        <w:t xml:space="preserve"> </w:t>
      </w:r>
      <w:r w:rsidRPr="0041019A">
        <w:rPr>
          <w:b/>
          <w:bCs/>
        </w:rPr>
        <w:t>and</w:t>
      </w:r>
      <w:r>
        <w:t xml:space="preserve"> </w:t>
      </w:r>
      <w:r w:rsidRPr="0041019A">
        <w:rPr>
          <w:b/>
          <w:bCs/>
        </w:rPr>
        <w:t>identification</w:t>
      </w:r>
      <w:r>
        <w:t xml:space="preserve"> </w:t>
      </w:r>
      <w:r w:rsidR="005E4061">
        <w:t>–</w:t>
      </w:r>
      <w:r>
        <w:t xml:space="preserve"> </w:t>
      </w:r>
      <w:r w:rsidR="005E4061">
        <w:t xml:space="preserve">Majority of the transgender people lack documentation which also impacts their inheritance rights by repudiating them the assurances generally available to citizens. In spite of legal recognition been </w:t>
      </w:r>
      <w:r w:rsidR="002D0DE3">
        <w:t>granted in the 2014 Supreme Court judgment, attaining an identity card in their favored name and gender stays a challenge for the transgender people. The inheritance needs identity documents in which any individual before ownership of the property or an asset requires to verify their identity, relation to the deceased person, and residence of both parties. While, any person without a lawful marriage or adoption cannot prove a valid relation.</w:t>
      </w:r>
    </w:p>
    <w:p w14:paraId="6B1A433B" w14:textId="395620A9" w:rsidR="003663F3" w:rsidRPr="00A87EC7" w:rsidRDefault="003663F3" w:rsidP="00A87EC7">
      <w:pPr>
        <w:pBdr>
          <w:top w:val="threeDEngrave" w:sz="24" w:space="1" w:color="auto"/>
          <w:bottom w:val="threeDEmboss" w:sz="24" w:space="1" w:color="auto"/>
        </w:pBdr>
        <w:shd w:val="pct5" w:color="auto" w:fill="auto"/>
        <w:spacing w:line="360" w:lineRule="auto"/>
        <w:jc w:val="center"/>
        <w:rPr>
          <w:b/>
          <w:bCs/>
          <w:smallCaps/>
        </w:rPr>
      </w:pPr>
      <w:r w:rsidRPr="00A87EC7">
        <w:rPr>
          <w:b/>
          <w:bCs/>
          <w:smallCaps/>
        </w:rPr>
        <w:t xml:space="preserve">Inheritance Rights </w:t>
      </w:r>
      <w:r w:rsidR="00A87EC7" w:rsidRPr="00A87EC7">
        <w:rPr>
          <w:b/>
          <w:bCs/>
          <w:smallCaps/>
        </w:rPr>
        <w:t xml:space="preserve">– </w:t>
      </w:r>
      <w:r w:rsidRPr="00A87EC7">
        <w:rPr>
          <w:b/>
          <w:bCs/>
          <w:smallCaps/>
        </w:rPr>
        <w:t xml:space="preserve">Need </w:t>
      </w:r>
      <w:r w:rsidR="00A87EC7" w:rsidRPr="00A87EC7">
        <w:rPr>
          <w:b/>
          <w:bCs/>
          <w:smallCaps/>
        </w:rPr>
        <w:t>For Reform</w:t>
      </w:r>
    </w:p>
    <w:p w14:paraId="0A4B33B4" w14:textId="5564235C" w:rsidR="00C56913" w:rsidRDefault="00C56913" w:rsidP="0055148A">
      <w:pPr>
        <w:spacing w:line="360" w:lineRule="auto"/>
        <w:jc w:val="both"/>
      </w:pPr>
      <w:r>
        <w:t xml:space="preserve">Particularly in the rural parts of India, property is obtained through inheritance. There are mainly two reasons for the challenges faced by transgender people while inheriting property – </w:t>
      </w:r>
    </w:p>
    <w:p w14:paraId="70136E5C" w14:textId="0DAD8A80" w:rsidR="00C56913" w:rsidRDefault="00C56913" w:rsidP="00C56913">
      <w:pPr>
        <w:pStyle w:val="ListParagraph"/>
        <w:numPr>
          <w:ilvl w:val="0"/>
          <w:numId w:val="3"/>
        </w:numPr>
        <w:spacing w:line="360" w:lineRule="auto"/>
        <w:jc w:val="both"/>
      </w:pPr>
      <w:r>
        <w:lastRenderedPageBreak/>
        <w:t>Rights under inheritance laws describe only two sexes – male and female;</w:t>
      </w:r>
    </w:p>
    <w:p w14:paraId="55A6FD15" w14:textId="1845F0D3" w:rsidR="00C56913" w:rsidRDefault="00C56913" w:rsidP="00C56913">
      <w:pPr>
        <w:pStyle w:val="ListParagraph"/>
        <w:numPr>
          <w:ilvl w:val="0"/>
          <w:numId w:val="3"/>
        </w:numPr>
        <w:spacing w:line="360" w:lineRule="auto"/>
        <w:jc w:val="both"/>
      </w:pPr>
      <w:r>
        <w:t>Complexity in ascertaining a successor.</w:t>
      </w:r>
    </w:p>
    <w:p w14:paraId="4E349AA1" w14:textId="0CC83048" w:rsidR="00C56913" w:rsidRPr="00E23FCF" w:rsidRDefault="0044653E" w:rsidP="00C56913">
      <w:pPr>
        <w:spacing w:line="360" w:lineRule="auto"/>
        <w:jc w:val="both"/>
      </w:pPr>
      <w:r>
        <w:t xml:space="preserve">The usage of a binary perception of gender is not restricted to laws dealing with property, but it subsists in criminal laws such as the </w:t>
      </w:r>
      <w:r>
        <w:rPr>
          <w:i/>
          <w:iCs/>
        </w:rPr>
        <w:t>Indian Penal Code, 1860</w:t>
      </w:r>
      <w:r>
        <w:t xml:space="preserve"> and the </w:t>
      </w:r>
      <w:r>
        <w:rPr>
          <w:i/>
          <w:iCs/>
        </w:rPr>
        <w:t>Code of Criminal Procedure, 1973</w:t>
      </w:r>
      <w:r w:rsidR="00CB4412">
        <w:t xml:space="preserve"> and labour laws like the </w:t>
      </w:r>
      <w:r w:rsidR="00CB4412">
        <w:rPr>
          <w:i/>
          <w:iCs/>
        </w:rPr>
        <w:t>Workmen’s Compensation</w:t>
      </w:r>
      <w:r w:rsidR="00E23FCF">
        <w:rPr>
          <w:i/>
          <w:iCs/>
        </w:rPr>
        <w:t xml:space="preserve"> Act, 1923 </w:t>
      </w:r>
      <w:r w:rsidR="00E23FCF">
        <w:t xml:space="preserve">and the </w:t>
      </w:r>
      <w:r w:rsidR="00E23FCF">
        <w:rPr>
          <w:i/>
          <w:iCs/>
        </w:rPr>
        <w:t>Factories Act, 1948.</w:t>
      </w:r>
      <w:r w:rsidR="00E23FCF">
        <w:t xml:space="preserve"> It is also apparent in personal laws such as the </w:t>
      </w:r>
      <w:r w:rsidR="00E23FCF">
        <w:rPr>
          <w:i/>
          <w:iCs/>
        </w:rPr>
        <w:t>Hindu Marriage Act, 1955</w:t>
      </w:r>
      <w:r w:rsidR="00E23FCF">
        <w:t xml:space="preserve"> and the </w:t>
      </w:r>
      <w:r w:rsidR="00E23FCF">
        <w:rPr>
          <w:i/>
          <w:iCs/>
        </w:rPr>
        <w:t>Hindu Succession Act, 1956.</w:t>
      </w:r>
      <w:r w:rsidR="00E23FCF">
        <w:t xml:space="preserve"> Also, the personal laws are used particularly as an instrument of advancing certain genders and eliminating others.</w:t>
      </w:r>
    </w:p>
    <w:p w14:paraId="0731BFDD" w14:textId="5BA2C04C" w:rsidR="003663F3" w:rsidRPr="00A87EC7" w:rsidRDefault="003663F3" w:rsidP="00A87EC7">
      <w:pPr>
        <w:pStyle w:val="Heading2"/>
      </w:pPr>
      <w:bookmarkStart w:id="2" w:name="_Toc95726828"/>
      <w:r w:rsidRPr="00A87EC7">
        <w:t>Hindu Succession Act, 1956</w:t>
      </w:r>
      <w:bookmarkEnd w:id="2"/>
    </w:p>
    <w:p w14:paraId="540E4067" w14:textId="11E1DB45" w:rsidR="00CF1F6B" w:rsidRDefault="00CF1F6B" w:rsidP="00CF1F6B">
      <w:pPr>
        <w:spacing w:line="360" w:lineRule="auto"/>
        <w:jc w:val="both"/>
      </w:pPr>
      <w:r>
        <w:t>The Hindu Succession Act, 1956 is a codified law involving intestate succession among Hindus. It also regulates Buddhists, Jain and Sikhs.</w:t>
      </w:r>
      <w:r w:rsidR="00C00760">
        <w:t xml:space="preserve"> Though, the Act nowhere states transgenders within its plan and recommends that heirs can only be either male or female </w:t>
      </w:r>
      <w:r w:rsidR="009B23E2">
        <w:t>people. The Act states agnates and cognates rights in a definition clause grounded on a binary notion of gender.</w:t>
      </w:r>
    </w:p>
    <w:p w14:paraId="20A5980C" w14:textId="0470D884" w:rsidR="00356D76" w:rsidRDefault="00356D76" w:rsidP="00356D76">
      <w:pPr>
        <w:pStyle w:val="ListParagraph"/>
        <w:numPr>
          <w:ilvl w:val="0"/>
          <w:numId w:val="4"/>
        </w:numPr>
        <w:spacing w:line="360" w:lineRule="auto"/>
        <w:jc w:val="both"/>
      </w:pPr>
      <w:r>
        <w:t>Agnates – An individua</w:t>
      </w:r>
      <w:r w:rsidR="00581E9F">
        <w:t>l is said to be ‘agnate’ of another if both of them are blood related or related by adoption completely through males;</w:t>
      </w:r>
    </w:p>
    <w:p w14:paraId="782EE08B" w14:textId="5AEEF786" w:rsidR="00581E9F" w:rsidRDefault="00581E9F" w:rsidP="00356D76">
      <w:pPr>
        <w:pStyle w:val="ListParagraph"/>
        <w:numPr>
          <w:ilvl w:val="0"/>
          <w:numId w:val="4"/>
        </w:numPr>
        <w:spacing w:line="360" w:lineRule="auto"/>
        <w:jc w:val="both"/>
      </w:pPr>
      <w:r>
        <w:t>Cognates – An individual is said to be ‘cognate’ of another if both of them are blood related or related by adoption, however, not completely through males.</w:t>
      </w:r>
    </w:p>
    <w:p w14:paraId="1C9AB1B0" w14:textId="7F04B446" w:rsidR="00581E9F" w:rsidRDefault="00581E9F" w:rsidP="00581E9F">
      <w:pPr>
        <w:spacing w:line="360" w:lineRule="auto"/>
        <w:jc w:val="both"/>
      </w:pPr>
      <w:r>
        <w:t>The Act describes the term ‘heir’ as an individual, male or female, who is eligible to inherit an intestate’s property. It permits rights to sons and daughters bu</w:t>
      </w:r>
      <w:r w:rsidR="005579DF">
        <w:t>t does not imagine transgender people or anyone who transforms their gender identity.</w:t>
      </w:r>
    </w:p>
    <w:p w14:paraId="7284E3A7" w14:textId="19DCBDDF" w:rsidR="00DA0B85" w:rsidRDefault="00DA0B85" w:rsidP="00581E9F">
      <w:pPr>
        <w:spacing w:line="360" w:lineRule="auto"/>
        <w:jc w:val="both"/>
      </w:pPr>
      <w:r>
        <w:t xml:space="preserve">S. 8 of the Act states the overall rules of succession in </w:t>
      </w:r>
      <w:r w:rsidR="00CB07F4">
        <w:t>the case of males and states the inheritance priority through classes of heirs. Class I heirs involve son, daughter and broadly male intestate’s mother and direct descendants, while Class II heirs mainly involves father, sibling and lineage of sibling.</w:t>
      </w:r>
      <w:r w:rsidR="00980A93">
        <w:t xml:space="preserve"> Likewise, </w:t>
      </w:r>
      <w:r w:rsidR="00A9619B">
        <w:t xml:space="preserve">S.15 states the overall rules of Hindu females’ succession which involves the list of people who might inherit Hindu females’ dying intestate property. </w:t>
      </w:r>
      <w:r w:rsidR="00AE53E2">
        <w:t>The precedence is granted to the sons, daughters, husband and husband heirs. This presents how males and females are considered under the Act but is totally quiet on whether a transgender who classifies as a male or female would be eligible to inheritance under S. 8 and 15 of the Act.</w:t>
      </w:r>
    </w:p>
    <w:p w14:paraId="446CCB89" w14:textId="5051D624" w:rsidR="001B67A9" w:rsidRDefault="001B67A9" w:rsidP="00581E9F">
      <w:pPr>
        <w:spacing w:line="360" w:lineRule="auto"/>
        <w:jc w:val="both"/>
      </w:pPr>
      <w:r>
        <w:lastRenderedPageBreak/>
        <w:t xml:space="preserve">Usually, transgender people identify themselves as females while demanding property inheritance rights which is an infringement of Article 15 of the Constitution of India that forbids discrimination on the basis of sex. The Act is gender-neutral under which S. 24 and 26 lay the </w:t>
      </w:r>
      <w:r w:rsidR="0080644E">
        <w:t xml:space="preserve">bases for disqualification of a person from inheritance and being a transgender is no base for such disqualification. </w:t>
      </w:r>
    </w:p>
    <w:p w14:paraId="074E5B09" w14:textId="6E79950F" w:rsidR="003663F3" w:rsidRDefault="003663F3" w:rsidP="00A87EC7">
      <w:pPr>
        <w:pStyle w:val="Heading2"/>
      </w:pPr>
      <w:bookmarkStart w:id="3" w:name="_Toc95726829"/>
      <w:r>
        <w:t>Muslim Personal Law (</w:t>
      </w:r>
      <w:proofErr w:type="spellStart"/>
      <w:r>
        <w:t>Shariat</w:t>
      </w:r>
      <w:proofErr w:type="spellEnd"/>
      <w:r>
        <w:t>) Application Act</w:t>
      </w:r>
      <w:bookmarkEnd w:id="3"/>
      <w:r>
        <w:t xml:space="preserve"> </w:t>
      </w:r>
    </w:p>
    <w:p w14:paraId="79B515B0" w14:textId="2DACC83D" w:rsidR="00BE5EA7" w:rsidRDefault="005A2D6F" w:rsidP="0055148A">
      <w:pPr>
        <w:spacing w:line="360" w:lineRule="auto"/>
        <w:jc w:val="both"/>
      </w:pPr>
      <w:r>
        <w:t>The Muslim law on inheritance is mainly grounded on the rules laid down in the Quran or the traditions.</w:t>
      </w:r>
      <w:r w:rsidR="00370D2F">
        <w:t xml:space="preserve"> Since, the property law for the Muslims is uncodified, all the Muslims are regulated by the </w:t>
      </w:r>
      <w:proofErr w:type="spellStart"/>
      <w:r w:rsidR="00370D2F">
        <w:t>Shariat</w:t>
      </w:r>
      <w:proofErr w:type="spellEnd"/>
      <w:r w:rsidR="00370D2F">
        <w:t xml:space="preserve"> Law for succession. </w:t>
      </w:r>
      <w:r w:rsidR="009C6AA4">
        <w:t>Both the Shia ad Sunni sects of Muslims have their own inheritance principles in India.</w:t>
      </w:r>
      <w:r w:rsidR="00F80143">
        <w:t xml:space="preserve"> As per Muslim Laws, a female has been granted </w:t>
      </w:r>
      <w:r w:rsidR="00BB63CA">
        <w:t>half the shares of a male, as of her lesser responsibilities and obligations as compared to the males.</w:t>
      </w:r>
      <w:r w:rsidR="00CC04A2">
        <w:t xml:space="preserve"> Finally, Muslim law identifies male and female as a subject matter which can be deduced from the terms used in the list of sharers in Shia and Sunni inheritance laws.</w:t>
      </w:r>
    </w:p>
    <w:p w14:paraId="588A9FC7" w14:textId="6BE88D7B" w:rsidR="005F0FC5" w:rsidRDefault="005F0FC5" w:rsidP="0055148A">
      <w:pPr>
        <w:spacing w:line="360" w:lineRule="auto"/>
        <w:jc w:val="both"/>
      </w:pPr>
      <w:r>
        <w:t>The Muslim Personal Law (</w:t>
      </w:r>
      <w:proofErr w:type="spellStart"/>
      <w:r>
        <w:t>Shariat</w:t>
      </w:r>
      <w:proofErr w:type="spellEnd"/>
      <w:r>
        <w:t>) Application Act was passed in 1937</w:t>
      </w:r>
      <w:r w:rsidR="00E61638">
        <w:t xml:space="preserve"> which authorizes Muslim personal laws to all Muslims with particular exceptions involving the</w:t>
      </w:r>
      <w:r w:rsidR="00504903">
        <w:t xml:space="preserve"> females’ personal property inherited or acquired under gift, contract or marriage or dissolution of marriage, etc., as per S.2. Each and every provision offer slight aid whether transgender people would be subject to personal law or rendered the differential protection under the Act. On the same basis</w:t>
      </w:r>
      <w:r w:rsidR="00723D0D">
        <w:t>, S.3 permitted only a male member of a Muslim family to make a statement within particular basis as recommended under the section.</w:t>
      </w:r>
    </w:p>
    <w:p w14:paraId="6E9F5DD5" w14:textId="42D740D0" w:rsidR="003663F3" w:rsidRDefault="003663F3" w:rsidP="00A87EC7">
      <w:pPr>
        <w:pStyle w:val="Heading1"/>
      </w:pPr>
      <w:bookmarkStart w:id="4" w:name="_Toc95726830"/>
      <w:r>
        <w:t xml:space="preserve">Requirement </w:t>
      </w:r>
      <w:r w:rsidR="00A87EC7">
        <w:t xml:space="preserve">For </w:t>
      </w:r>
      <w:r>
        <w:t>Judicial Intervention</w:t>
      </w:r>
      <w:bookmarkEnd w:id="4"/>
    </w:p>
    <w:p w14:paraId="4F54E222" w14:textId="4A473EB6" w:rsidR="00247DF3" w:rsidRDefault="002F2E2A" w:rsidP="002F2E2A">
      <w:pPr>
        <w:spacing w:line="360" w:lineRule="auto"/>
        <w:jc w:val="both"/>
      </w:pPr>
      <w:r>
        <w:t xml:space="preserve">After a thorough look on the total number of judgments through different courts since 1950 that stated the term transgender, there are a total of 128 judgments out of which 8 judgments are of Supreme Court, 116 of the various High Courts and the other 5 of the various other courts and tribunals. Widely the cases are related to – </w:t>
      </w:r>
    </w:p>
    <w:p w14:paraId="3CFF6FB9" w14:textId="2C5337D3" w:rsidR="002F2E2A" w:rsidRDefault="002F2E2A" w:rsidP="002F2E2A">
      <w:pPr>
        <w:pStyle w:val="ListParagraph"/>
        <w:numPr>
          <w:ilvl w:val="0"/>
          <w:numId w:val="5"/>
        </w:numPr>
        <w:spacing w:line="360" w:lineRule="auto"/>
        <w:jc w:val="both"/>
      </w:pPr>
      <w:r>
        <w:t>Institutional cases</w:t>
      </w:r>
      <w:r w:rsidR="00231E39">
        <w:rPr>
          <w:rStyle w:val="FootnoteReference"/>
        </w:rPr>
        <w:footnoteReference w:id="3"/>
      </w:r>
    </w:p>
    <w:p w14:paraId="0F9163E9" w14:textId="5F5D9FB1" w:rsidR="00231E39" w:rsidRDefault="00231E39" w:rsidP="002F2E2A">
      <w:pPr>
        <w:pStyle w:val="ListParagraph"/>
        <w:numPr>
          <w:ilvl w:val="0"/>
          <w:numId w:val="5"/>
        </w:numPr>
        <w:spacing w:line="360" w:lineRule="auto"/>
        <w:jc w:val="both"/>
      </w:pPr>
      <w:r>
        <w:lastRenderedPageBreak/>
        <w:t>Certain cases on transgenders’ rights of inheritance</w:t>
      </w:r>
    </w:p>
    <w:p w14:paraId="25C42B3C" w14:textId="2DF2B173" w:rsidR="00231E39" w:rsidRDefault="002D0450" w:rsidP="002F2E2A">
      <w:pPr>
        <w:pStyle w:val="ListParagraph"/>
        <w:numPr>
          <w:ilvl w:val="0"/>
          <w:numId w:val="5"/>
        </w:numPr>
        <w:spacing w:line="360" w:lineRule="auto"/>
        <w:jc w:val="both"/>
      </w:pPr>
      <w:r>
        <w:t>Reading gendered laws</w:t>
      </w:r>
    </w:p>
    <w:p w14:paraId="528E5A73" w14:textId="10391314" w:rsidR="002D0450" w:rsidRDefault="002D0450" w:rsidP="002F2E2A">
      <w:pPr>
        <w:pStyle w:val="ListParagraph"/>
        <w:numPr>
          <w:ilvl w:val="0"/>
          <w:numId w:val="5"/>
        </w:numPr>
        <w:spacing w:line="360" w:lineRule="auto"/>
        <w:jc w:val="both"/>
      </w:pPr>
      <w:r>
        <w:t>Assertions dealing with identification documents.</w:t>
      </w:r>
    </w:p>
    <w:p w14:paraId="789DA25B" w14:textId="09F2E20E" w:rsidR="002D0450" w:rsidRPr="00AD20C8" w:rsidRDefault="002A3518" w:rsidP="00AF1179">
      <w:pPr>
        <w:spacing w:line="360" w:lineRule="auto"/>
        <w:jc w:val="both"/>
      </w:pPr>
      <w:r>
        <w:t>Presently, the court had only two chances</w:t>
      </w:r>
      <w:r w:rsidR="00DC7482">
        <w:t xml:space="preserve"> to handle the inheritance rights. In such cases, the court mainly depends on customary practices while acknowledging their rights of inheritance.  For instance, in the case of </w:t>
      </w:r>
      <w:proofErr w:type="spellStart"/>
      <w:r w:rsidR="00DC7482">
        <w:rPr>
          <w:i/>
          <w:iCs/>
        </w:rPr>
        <w:t>Illyas</w:t>
      </w:r>
      <w:proofErr w:type="spellEnd"/>
      <w:r w:rsidR="00DC7482">
        <w:rPr>
          <w:i/>
          <w:iCs/>
        </w:rPr>
        <w:t xml:space="preserve"> v. Badshah Alias </w:t>
      </w:r>
      <w:proofErr w:type="spellStart"/>
      <w:r w:rsidR="00DC7482">
        <w:rPr>
          <w:i/>
          <w:iCs/>
        </w:rPr>
        <w:t>Kamla</w:t>
      </w:r>
      <w:proofErr w:type="spellEnd"/>
      <w:r w:rsidR="00AD20C8">
        <w:rPr>
          <w:rStyle w:val="FootnoteReference"/>
          <w:i/>
          <w:iCs/>
        </w:rPr>
        <w:footnoteReference w:id="4"/>
      </w:r>
      <w:r w:rsidR="00AD20C8">
        <w:rPr>
          <w:i/>
          <w:iCs/>
        </w:rPr>
        <w:t>,</w:t>
      </w:r>
      <w:r w:rsidR="00AD20C8">
        <w:t xml:space="preserve"> the appellant asserted before the High Court of Madhya Pradesh that </w:t>
      </w:r>
      <w:proofErr w:type="spellStart"/>
      <w:r w:rsidR="00AD20C8">
        <w:t>Munilal</w:t>
      </w:r>
      <w:proofErr w:type="spellEnd"/>
      <w:r w:rsidR="00AD20C8">
        <w:t xml:space="preserve">, a transgender guru had implemented a will in his favor. Based on the same ground, the respondent asserted that he was also a disciple of </w:t>
      </w:r>
      <w:proofErr w:type="spellStart"/>
      <w:r w:rsidR="00AD20C8">
        <w:t>Munilal</w:t>
      </w:r>
      <w:proofErr w:type="spellEnd"/>
      <w:r w:rsidR="00AD20C8">
        <w:t xml:space="preserve"> and so had an equal right to the willed property. Post completion of investigation, the Court decided that the will which favored the Appellant was forged</w:t>
      </w:r>
      <w:r w:rsidR="009424CA">
        <w:t xml:space="preserve"> and documented that even if there a will’s presence, even then the deceased being a Muslim, could not will more than one-third of their property which is a Muslim person’s testamentary limit.</w:t>
      </w:r>
    </w:p>
    <w:p w14:paraId="44AC0BE8" w14:textId="7517B0F1" w:rsidR="00231E39" w:rsidRDefault="009424CA" w:rsidP="009424CA">
      <w:pPr>
        <w:spacing w:line="360" w:lineRule="auto"/>
        <w:jc w:val="both"/>
      </w:pPr>
      <w:r>
        <w:t xml:space="preserve">The Supreme Court has had only </w:t>
      </w:r>
      <w:r w:rsidR="00F1726A">
        <w:t xml:space="preserve">two chances to deal with the transgenders’ rights of inheritance. Nonetheless, the Indian courts have always recognized the fair rights that are being offered to them. The High Court of Madras in the case of </w:t>
      </w:r>
      <w:r w:rsidR="00F1726A">
        <w:rPr>
          <w:i/>
          <w:iCs/>
        </w:rPr>
        <w:t>Arun Kumar v. Inspector General of Registration</w:t>
      </w:r>
      <w:r w:rsidR="00F1726A">
        <w:rPr>
          <w:rStyle w:val="FootnoteReference"/>
          <w:i/>
          <w:iCs/>
        </w:rPr>
        <w:footnoteReference w:id="5"/>
      </w:r>
      <w:r w:rsidR="006C79D7">
        <w:t xml:space="preserve"> held that the term ‘bride’ in the Hindu Marriage Act, 1955 also involves transwomen.</w:t>
      </w:r>
    </w:p>
    <w:p w14:paraId="28EC14DF" w14:textId="4360EC50" w:rsidR="00085D38" w:rsidRPr="006C79D7" w:rsidRDefault="00F7275E" w:rsidP="009424CA">
      <w:pPr>
        <w:spacing w:line="360" w:lineRule="auto"/>
        <w:jc w:val="both"/>
      </w:pPr>
      <w:r w:rsidRPr="00F7275E">
        <w:t xml:space="preserve">In most cases involving inheritances, the court grants transgender petitioner’s relief based on customary customs, but denies them equal rights that are regularly exercised by citizens. Even so, if the court interprets inheritance laws to include trans men and women in brackets, this would not be the greatest </w:t>
      </w:r>
      <w:r w:rsidR="003D035E" w:rsidRPr="00F7275E">
        <w:t>practice</w:t>
      </w:r>
      <w:r w:rsidRPr="00F7275E">
        <w:t>. Even if they are denied inheritance rights, they will be forced to conform to gender binary conceptions to which they do not belong.</w:t>
      </w:r>
    </w:p>
    <w:p w14:paraId="41D92DC6" w14:textId="4D3A0CFF" w:rsidR="00F63E09" w:rsidRDefault="00F63E09" w:rsidP="00A87EC7">
      <w:pPr>
        <w:pStyle w:val="Heading1"/>
      </w:pPr>
      <w:bookmarkStart w:id="5" w:name="_Toc95726831"/>
      <w:r>
        <w:t>Transgender Persons (Protection of Rights) Act, 2019</w:t>
      </w:r>
      <w:bookmarkEnd w:id="5"/>
    </w:p>
    <w:p w14:paraId="47116030" w14:textId="1957713E" w:rsidR="008846A3" w:rsidRDefault="008846A3" w:rsidP="00E6263B">
      <w:pPr>
        <w:spacing w:line="360" w:lineRule="auto"/>
        <w:jc w:val="both"/>
      </w:pPr>
      <w:r>
        <w:t xml:space="preserve">The Transgender </w:t>
      </w:r>
      <w:r w:rsidR="00AD0A2E">
        <w:t xml:space="preserve">Persons (Protection of Rights) Act, 2019, was passed by the Parliament on 26 November 2019, to protect </w:t>
      </w:r>
      <w:r w:rsidR="00D87351">
        <w:t>the transgenders’ rights and welfares.</w:t>
      </w:r>
      <w:r w:rsidR="001B41AA">
        <w:t xml:space="preserve"> However, the Act is facing a lot of condemnation with reference to the steps taken for the transgenders’ identification, welfare and protection. The key features of the Act are – </w:t>
      </w:r>
    </w:p>
    <w:p w14:paraId="1DCFDA03" w14:textId="77777777" w:rsidR="00E865EA" w:rsidRDefault="009763D8" w:rsidP="001B41AA">
      <w:pPr>
        <w:pStyle w:val="ListParagraph"/>
        <w:numPr>
          <w:ilvl w:val="0"/>
          <w:numId w:val="6"/>
        </w:numPr>
        <w:spacing w:line="360" w:lineRule="auto"/>
        <w:jc w:val="both"/>
      </w:pPr>
      <w:r>
        <w:lastRenderedPageBreak/>
        <w:t xml:space="preserve">The Act authorizes each transgender to have a right to live and be involved in a household. If the immediate family is not able to take care for the transgender individual, the individual may be placed </w:t>
      </w:r>
      <w:r w:rsidR="007C64CA">
        <w:t>in a rehabilitation centre on the competent court’s orders.</w:t>
      </w:r>
    </w:p>
    <w:p w14:paraId="59D559D6" w14:textId="1F993513" w:rsidR="001B41AA" w:rsidRDefault="00E865EA" w:rsidP="001B41AA">
      <w:pPr>
        <w:pStyle w:val="ListParagraph"/>
        <w:numPr>
          <w:ilvl w:val="0"/>
          <w:numId w:val="6"/>
        </w:numPr>
        <w:spacing w:line="360" w:lineRule="auto"/>
        <w:jc w:val="both"/>
      </w:pPr>
      <w:r>
        <w:t xml:space="preserve">The Act mentions that nether government nor private entity </w:t>
      </w:r>
      <w:r w:rsidR="00E4480E">
        <w:t>can differentiate</w:t>
      </w:r>
      <w:r>
        <w:t xml:space="preserve"> against a transgender individual in employment matters, involving recruitment and promotion.</w:t>
      </w:r>
    </w:p>
    <w:p w14:paraId="414DBFAB" w14:textId="3E810D7A" w:rsidR="00E4480E" w:rsidRDefault="00E4480E" w:rsidP="001B41AA">
      <w:pPr>
        <w:pStyle w:val="ListParagraph"/>
        <w:numPr>
          <w:ilvl w:val="0"/>
          <w:numId w:val="6"/>
        </w:numPr>
        <w:spacing w:line="360" w:lineRule="auto"/>
        <w:jc w:val="both"/>
      </w:pPr>
      <w:r>
        <w:t xml:space="preserve">The National Council of Transgender people shall be instituted that will redress the grievances of transgender </w:t>
      </w:r>
      <w:r w:rsidR="00DC5AD7">
        <w:t>people. The council will also counsel the Central Government as well as proctor the impact of the policies, legislation and projects with reference to transgender people.</w:t>
      </w:r>
    </w:p>
    <w:p w14:paraId="77EED77C" w14:textId="202D5970" w:rsidR="00DC5AD7" w:rsidRDefault="00DC5AD7" w:rsidP="001B41AA">
      <w:pPr>
        <w:pStyle w:val="ListParagraph"/>
        <w:numPr>
          <w:ilvl w:val="0"/>
          <w:numId w:val="6"/>
        </w:numPr>
        <w:spacing w:line="360" w:lineRule="auto"/>
        <w:jc w:val="both"/>
      </w:pPr>
      <w:r>
        <w:t>A transgender individual can make an application to the District Magistrate for an identity certificate, designating the gender as transgender. A reviewed certificate can be acquired only if the person experiences sex reassignment surgery to transform their gender either as a male or a female.</w:t>
      </w:r>
    </w:p>
    <w:p w14:paraId="1AA1C853" w14:textId="5B838297" w:rsidR="00F63E09" w:rsidRDefault="00F63E09" w:rsidP="00A87EC7">
      <w:pPr>
        <w:pStyle w:val="Heading1"/>
      </w:pPr>
      <w:bookmarkStart w:id="6" w:name="_Toc95726832"/>
      <w:r>
        <w:t>Conclusion</w:t>
      </w:r>
      <w:bookmarkEnd w:id="6"/>
    </w:p>
    <w:p w14:paraId="4E973414" w14:textId="77777777" w:rsidR="00012347" w:rsidRDefault="00E6263B" w:rsidP="00012347">
      <w:pPr>
        <w:spacing w:line="360" w:lineRule="auto"/>
        <w:jc w:val="both"/>
      </w:pPr>
      <w:r>
        <w:t xml:space="preserve">Transgender rights are a </w:t>
      </w:r>
      <w:r w:rsidR="006A3F1F">
        <w:t xml:space="preserve">huge and difficult subject in which only legislature can interfere by revising legislative laws to familiarize to such knowledge. The legislative laws are </w:t>
      </w:r>
      <w:r w:rsidR="00012347">
        <w:t>conditional to binary gender identity which eliminates transgenders. The present condition of their rights denies them to marry or adopt a child as their gender identity is not legally recognized.</w:t>
      </w:r>
    </w:p>
    <w:p w14:paraId="33FC9F7A" w14:textId="239C74EA" w:rsidR="003663F3" w:rsidRPr="003663F3" w:rsidRDefault="00012347" w:rsidP="00012347">
      <w:pPr>
        <w:spacing w:line="360" w:lineRule="auto"/>
        <w:jc w:val="both"/>
      </w:pPr>
      <w:r>
        <w:t xml:space="preserve">The lack of documentation of transgenders becomes a great complexity in ascertaining their successors and hence, estranges them of their inheritance rights. </w:t>
      </w:r>
      <w:r w:rsidR="00D87D7A">
        <w:t>T</w:t>
      </w:r>
      <w:r>
        <w:t>hus</w:t>
      </w:r>
      <w:r w:rsidR="00D87D7A">
        <w:t>, the Ministry of Social Justice and Empowerment should organize research work to plan appropriate programs and involvements for transgender persons in the country.</w:t>
      </w:r>
    </w:p>
    <w:sectPr w:rsidR="003663F3" w:rsidRPr="003663F3" w:rsidSect="000B6713">
      <w:pgSz w:w="12240" w:h="15840"/>
      <w:pgMar w:top="1440" w:right="1440" w:bottom="1440" w:left="1440" w:header="720" w:footer="720"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DDEE75" w14:textId="77777777" w:rsidR="006D47D0" w:rsidRDefault="006D47D0" w:rsidP="006D47D0">
      <w:pPr>
        <w:spacing w:after="0" w:line="240" w:lineRule="auto"/>
      </w:pPr>
      <w:r>
        <w:separator/>
      </w:r>
    </w:p>
  </w:endnote>
  <w:endnote w:type="continuationSeparator" w:id="0">
    <w:p w14:paraId="20F6017D" w14:textId="77777777" w:rsidR="006D47D0" w:rsidRDefault="006D47D0" w:rsidP="006D47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B71B34" w14:textId="77777777" w:rsidR="006D47D0" w:rsidRDefault="006D47D0" w:rsidP="006D47D0">
      <w:pPr>
        <w:spacing w:after="0" w:line="240" w:lineRule="auto"/>
      </w:pPr>
      <w:r>
        <w:separator/>
      </w:r>
    </w:p>
  </w:footnote>
  <w:footnote w:type="continuationSeparator" w:id="0">
    <w:p w14:paraId="10260C7D" w14:textId="77777777" w:rsidR="006D47D0" w:rsidRDefault="006D47D0" w:rsidP="006D47D0">
      <w:pPr>
        <w:spacing w:after="0" w:line="240" w:lineRule="auto"/>
      </w:pPr>
      <w:r>
        <w:continuationSeparator/>
      </w:r>
    </w:p>
  </w:footnote>
  <w:footnote w:id="1">
    <w:p w14:paraId="3AEDB21B" w14:textId="41B0B091" w:rsidR="006D47D0" w:rsidRDefault="006D47D0">
      <w:pPr>
        <w:pStyle w:val="FootnoteText"/>
      </w:pPr>
      <w:r>
        <w:rPr>
          <w:rStyle w:val="FootnoteReference"/>
        </w:rPr>
        <w:footnoteRef/>
      </w:r>
      <w:r>
        <w:t xml:space="preserve"> Was Aparna Mafatlal till the sex reassignment surgery.</w:t>
      </w:r>
    </w:p>
  </w:footnote>
  <w:footnote w:id="2">
    <w:p w14:paraId="288080A9" w14:textId="08B8966C" w:rsidR="006C0858" w:rsidRDefault="006C0858">
      <w:pPr>
        <w:pStyle w:val="FootnoteText"/>
      </w:pPr>
      <w:r>
        <w:rPr>
          <w:rStyle w:val="FootnoteReference"/>
        </w:rPr>
        <w:footnoteRef/>
      </w:r>
      <w:r>
        <w:t xml:space="preserve"> AIR 2014 SC</w:t>
      </w:r>
      <w:r w:rsidR="00140D87">
        <w:t xml:space="preserve"> 1863</w:t>
      </w:r>
    </w:p>
  </w:footnote>
  <w:footnote w:id="3">
    <w:p w14:paraId="47EAA253" w14:textId="77777777" w:rsidR="00231E39" w:rsidRDefault="00231E39">
      <w:pPr>
        <w:pStyle w:val="FootnoteText"/>
      </w:pPr>
      <w:r>
        <w:rPr>
          <w:rStyle w:val="FootnoteReference"/>
        </w:rPr>
        <w:footnoteRef/>
      </w:r>
      <w:r>
        <w:t xml:space="preserve"> </w:t>
      </w:r>
      <w:proofErr w:type="spellStart"/>
      <w:r>
        <w:t>Navtej</w:t>
      </w:r>
      <w:proofErr w:type="spellEnd"/>
      <w:r>
        <w:t xml:space="preserve"> Singh </w:t>
      </w:r>
      <w:proofErr w:type="spellStart"/>
      <w:r>
        <w:t>Johar</w:t>
      </w:r>
      <w:proofErr w:type="spellEnd"/>
      <w:r>
        <w:t xml:space="preserve"> v. Union of India, (2018) 10 SCC 1; </w:t>
      </w:r>
    </w:p>
    <w:p w14:paraId="09B7DE12" w14:textId="7CBE51C0" w:rsidR="00231E39" w:rsidRDefault="00231E39" w:rsidP="00231E39">
      <w:pPr>
        <w:pStyle w:val="FootnoteText"/>
      </w:pPr>
      <w:r>
        <w:t xml:space="preserve">  National Legal Services Authority v. Union of India, 1 (2014) 5 SCC 438</w:t>
      </w:r>
    </w:p>
  </w:footnote>
  <w:footnote w:id="4">
    <w:p w14:paraId="7269DE33" w14:textId="38AA6CFD" w:rsidR="00AD20C8" w:rsidRDefault="00AD20C8">
      <w:pPr>
        <w:pStyle w:val="FootnoteText"/>
      </w:pPr>
      <w:r>
        <w:rPr>
          <w:rStyle w:val="FootnoteReference"/>
        </w:rPr>
        <w:footnoteRef/>
      </w:r>
      <w:r>
        <w:t xml:space="preserve"> AIR 1990 MP 334</w:t>
      </w:r>
    </w:p>
  </w:footnote>
  <w:footnote w:id="5">
    <w:p w14:paraId="13CEC4CF" w14:textId="2DE32B79" w:rsidR="00F1726A" w:rsidRDefault="00F1726A">
      <w:pPr>
        <w:pStyle w:val="FootnoteText"/>
      </w:pPr>
      <w:r>
        <w:rPr>
          <w:rStyle w:val="FootnoteReference"/>
        </w:rPr>
        <w:footnoteRef/>
      </w:r>
      <w:r>
        <w:t xml:space="preserve"> 2017 SCC </w:t>
      </w:r>
      <w:proofErr w:type="spellStart"/>
      <w:r>
        <w:t>OnLine</w:t>
      </w:r>
      <w:proofErr w:type="spellEnd"/>
      <w:r>
        <w:t xml:space="preserve"> Mad 28723</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523939"/>
    <w:multiLevelType w:val="hybridMultilevel"/>
    <w:tmpl w:val="4C500F26"/>
    <w:lvl w:ilvl="0" w:tplc="AC48C63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90D383F"/>
    <w:multiLevelType w:val="hybridMultilevel"/>
    <w:tmpl w:val="D0305FDC"/>
    <w:lvl w:ilvl="0" w:tplc="53B8311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9E80760"/>
    <w:multiLevelType w:val="hybridMultilevel"/>
    <w:tmpl w:val="9CD4E590"/>
    <w:lvl w:ilvl="0" w:tplc="A16E7D3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49D62F8"/>
    <w:multiLevelType w:val="hybridMultilevel"/>
    <w:tmpl w:val="03B2324E"/>
    <w:lvl w:ilvl="0" w:tplc="66066DF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A2749F1"/>
    <w:multiLevelType w:val="hybridMultilevel"/>
    <w:tmpl w:val="9C0CEBE2"/>
    <w:lvl w:ilvl="0" w:tplc="D11A8D1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7811501"/>
    <w:multiLevelType w:val="hybridMultilevel"/>
    <w:tmpl w:val="D7E4D58A"/>
    <w:lvl w:ilvl="0" w:tplc="D792BB30">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3"/>
  </w:num>
  <w:num w:numId="3">
    <w:abstractNumId w:val="0"/>
  </w:num>
  <w:num w:numId="4">
    <w:abstractNumId w:val="4"/>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5632"/>
    <w:rsid w:val="00012347"/>
    <w:rsid w:val="00066525"/>
    <w:rsid w:val="00085D38"/>
    <w:rsid w:val="000A62A0"/>
    <w:rsid w:val="000B6713"/>
    <w:rsid w:val="0012545D"/>
    <w:rsid w:val="00140D87"/>
    <w:rsid w:val="00185C30"/>
    <w:rsid w:val="001B41AA"/>
    <w:rsid w:val="001B67A9"/>
    <w:rsid w:val="00231E39"/>
    <w:rsid w:val="00247DF3"/>
    <w:rsid w:val="002A3518"/>
    <w:rsid w:val="002D0450"/>
    <w:rsid w:val="002D0DE3"/>
    <w:rsid w:val="002F2E2A"/>
    <w:rsid w:val="00326206"/>
    <w:rsid w:val="00356D76"/>
    <w:rsid w:val="003663F3"/>
    <w:rsid w:val="00370D2F"/>
    <w:rsid w:val="003D035E"/>
    <w:rsid w:val="0041019A"/>
    <w:rsid w:val="0044653E"/>
    <w:rsid w:val="0045035D"/>
    <w:rsid w:val="004853D2"/>
    <w:rsid w:val="00491E3D"/>
    <w:rsid w:val="00504903"/>
    <w:rsid w:val="0051457C"/>
    <w:rsid w:val="0055148A"/>
    <w:rsid w:val="005579DF"/>
    <w:rsid w:val="00581E9F"/>
    <w:rsid w:val="00590950"/>
    <w:rsid w:val="0059446D"/>
    <w:rsid w:val="005A2D6F"/>
    <w:rsid w:val="005C69AE"/>
    <w:rsid w:val="005E4061"/>
    <w:rsid w:val="005F0FC5"/>
    <w:rsid w:val="006A3F1F"/>
    <w:rsid w:val="006C0858"/>
    <w:rsid w:val="006C79D7"/>
    <w:rsid w:val="006D47D0"/>
    <w:rsid w:val="00723D0D"/>
    <w:rsid w:val="007442A0"/>
    <w:rsid w:val="007C64CA"/>
    <w:rsid w:val="0080644E"/>
    <w:rsid w:val="008846A3"/>
    <w:rsid w:val="00904437"/>
    <w:rsid w:val="009228ED"/>
    <w:rsid w:val="009424CA"/>
    <w:rsid w:val="009763D8"/>
    <w:rsid w:val="00977EDA"/>
    <w:rsid w:val="00980A93"/>
    <w:rsid w:val="009A7B6E"/>
    <w:rsid w:val="009B23E2"/>
    <w:rsid w:val="009C6320"/>
    <w:rsid w:val="009C6AA4"/>
    <w:rsid w:val="009E5B16"/>
    <w:rsid w:val="00A778B9"/>
    <w:rsid w:val="00A87EC7"/>
    <w:rsid w:val="00A9619B"/>
    <w:rsid w:val="00A97DF6"/>
    <w:rsid w:val="00AD0A2E"/>
    <w:rsid w:val="00AD20C8"/>
    <w:rsid w:val="00AE53E2"/>
    <w:rsid w:val="00AF1179"/>
    <w:rsid w:val="00AF5632"/>
    <w:rsid w:val="00B56A2E"/>
    <w:rsid w:val="00BB63CA"/>
    <w:rsid w:val="00BE5EA7"/>
    <w:rsid w:val="00C00760"/>
    <w:rsid w:val="00C1064F"/>
    <w:rsid w:val="00C137E3"/>
    <w:rsid w:val="00C56913"/>
    <w:rsid w:val="00C96BBE"/>
    <w:rsid w:val="00CA3723"/>
    <w:rsid w:val="00CB07F4"/>
    <w:rsid w:val="00CB4412"/>
    <w:rsid w:val="00CC04A2"/>
    <w:rsid w:val="00CF1F6B"/>
    <w:rsid w:val="00D1397E"/>
    <w:rsid w:val="00D154F0"/>
    <w:rsid w:val="00D33F29"/>
    <w:rsid w:val="00D52AB9"/>
    <w:rsid w:val="00D87351"/>
    <w:rsid w:val="00D87D7A"/>
    <w:rsid w:val="00DA0B85"/>
    <w:rsid w:val="00DC5AD7"/>
    <w:rsid w:val="00DC7482"/>
    <w:rsid w:val="00DD0FA0"/>
    <w:rsid w:val="00E23FCF"/>
    <w:rsid w:val="00E4480E"/>
    <w:rsid w:val="00E54ADE"/>
    <w:rsid w:val="00E61638"/>
    <w:rsid w:val="00E6263B"/>
    <w:rsid w:val="00E865EA"/>
    <w:rsid w:val="00E9545C"/>
    <w:rsid w:val="00F103EF"/>
    <w:rsid w:val="00F1726A"/>
    <w:rsid w:val="00F63E09"/>
    <w:rsid w:val="00F7275E"/>
    <w:rsid w:val="00F801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D8C224"/>
  <w15:chartTrackingRefBased/>
  <w15:docId w15:val="{11204BD4-13BA-4752-A9AB-7A75370E03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87EC7"/>
    <w:pPr>
      <w:pBdr>
        <w:top w:val="threeDEngrave" w:sz="24" w:space="1" w:color="auto"/>
        <w:bottom w:val="threeDEmboss" w:sz="24" w:space="1" w:color="auto"/>
      </w:pBdr>
      <w:shd w:val="pct5" w:color="auto" w:fill="auto"/>
      <w:tabs>
        <w:tab w:val="left" w:pos="9270"/>
      </w:tabs>
      <w:spacing w:line="360" w:lineRule="auto"/>
      <w:ind w:right="-720"/>
      <w:jc w:val="center"/>
      <w:outlineLvl w:val="0"/>
    </w:pPr>
    <w:rPr>
      <w:b/>
      <w:bCs/>
      <w:smallCaps/>
    </w:rPr>
  </w:style>
  <w:style w:type="paragraph" w:styleId="Heading2">
    <w:name w:val="heading 2"/>
    <w:basedOn w:val="Normal"/>
    <w:next w:val="Normal"/>
    <w:link w:val="Heading2Char"/>
    <w:uiPriority w:val="9"/>
    <w:unhideWhenUsed/>
    <w:qFormat/>
    <w:rsid w:val="00A87EC7"/>
    <w:pPr>
      <w:spacing w:line="360" w:lineRule="auto"/>
      <w:jc w:val="both"/>
      <w:outlineLvl w:val="1"/>
    </w:pPr>
    <w:rPr>
      <w:b/>
      <w:bCs/>
      <w:smallCaps/>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63F3"/>
    <w:pPr>
      <w:ind w:left="720"/>
      <w:contextualSpacing/>
    </w:pPr>
  </w:style>
  <w:style w:type="paragraph" w:styleId="FootnoteText">
    <w:name w:val="footnote text"/>
    <w:basedOn w:val="Normal"/>
    <w:link w:val="FootnoteTextChar"/>
    <w:uiPriority w:val="99"/>
    <w:semiHidden/>
    <w:unhideWhenUsed/>
    <w:rsid w:val="006D47D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D47D0"/>
    <w:rPr>
      <w:sz w:val="20"/>
      <w:szCs w:val="20"/>
    </w:rPr>
  </w:style>
  <w:style w:type="character" w:styleId="FootnoteReference">
    <w:name w:val="footnote reference"/>
    <w:basedOn w:val="DefaultParagraphFont"/>
    <w:uiPriority w:val="99"/>
    <w:semiHidden/>
    <w:unhideWhenUsed/>
    <w:rsid w:val="006D47D0"/>
    <w:rPr>
      <w:vertAlign w:val="superscript"/>
    </w:rPr>
  </w:style>
  <w:style w:type="paragraph" w:styleId="Header">
    <w:name w:val="header"/>
    <w:basedOn w:val="Normal"/>
    <w:link w:val="HeaderChar"/>
    <w:uiPriority w:val="99"/>
    <w:unhideWhenUsed/>
    <w:rsid w:val="009E5B16"/>
    <w:pPr>
      <w:tabs>
        <w:tab w:val="center" w:pos="4680"/>
        <w:tab w:val="right" w:pos="9360"/>
      </w:tabs>
      <w:spacing w:after="0" w:line="240" w:lineRule="auto"/>
    </w:pPr>
  </w:style>
  <w:style w:type="character" w:customStyle="1" w:styleId="HeaderChar">
    <w:name w:val="Header Char"/>
    <w:basedOn w:val="DefaultParagraphFont"/>
    <w:link w:val="Header"/>
    <w:uiPriority w:val="99"/>
    <w:rsid w:val="009E5B16"/>
  </w:style>
  <w:style w:type="paragraph" w:styleId="Footer">
    <w:name w:val="footer"/>
    <w:basedOn w:val="Normal"/>
    <w:link w:val="FooterChar"/>
    <w:uiPriority w:val="99"/>
    <w:unhideWhenUsed/>
    <w:rsid w:val="009E5B16"/>
    <w:pPr>
      <w:tabs>
        <w:tab w:val="center" w:pos="4680"/>
        <w:tab w:val="right" w:pos="9360"/>
      </w:tabs>
      <w:spacing w:after="0" w:line="240" w:lineRule="auto"/>
    </w:pPr>
  </w:style>
  <w:style w:type="character" w:customStyle="1" w:styleId="FooterChar">
    <w:name w:val="Footer Char"/>
    <w:basedOn w:val="DefaultParagraphFont"/>
    <w:link w:val="Footer"/>
    <w:uiPriority w:val="99"/>
    <w:rsid w:val="009E5B16"/>
  </w:style>
  <w:style w:type="character" w:styleId="CommentReference">
    <w:name w:val="annotation reference"/>
    <w:basedOn w:val="DefaultParagraphFont"/>
    <w:uiPriority w:val="99"/>
    <w:semiHidden/>
    <w:unhideWhenUsed/>
    <w:rsid w:val="009E5B16"/>
    <w:rPr>
      <w:sz w:val="16"/>
      <w:szCs w:val="16"/>
    </w:rPr>
  </w:style>
  <w:style w:type="paragraph" w:styleId="CommentText">
    <w:name w:val="annotation text"/>
    <w:basedOn w:val="Normal"/>
    <w:link w:val="CommentTextChar"/>
    <w:uiPriority w:val="99"/>
    <w:semiHidden/>
    <w:unhideWhenUsed/>
    <w:rsid w:val="009E5B16"/>
    <w:pPr>
      <w:spacing w:line="240" w:lineRule="auto"/>
    </w:pPr>
    <w:rPr>
      <w:sz w:val="20"/>
      <w:szCs w:val="20"/>
    </w:rPr>
  </w:style>
  <w:style w:type="character" w:customStyle="1" w:styleId="CommentTextChar">
    <w:name w:val="Comment Text Char"/>
    <w:basedOn w:val="DefaultParagraphFont"/>
    <w:link w:val="CommentText"/>
    <w:uiPriority w:val="99"/>
    <w:semiHidden/>
    <w:rsid w:val="009E5B16"/>
    <w:rPr>
      <w:sz w:val="20"/>
      <w:szCs w:val="20"/>
    </w:rPr>
  </w:style>
  <w:style w:type="paragraph" w:styleId="CommentSubject">
    <w:name w:val="annotation subject"/>
    <w:basedOn w:val="CommentText"/>
    <w:next w:val="CommentText"/>
    <w:link w:val="CommentSubjectChar"/>
    <w:uiPriority w:val="99"/>
    <w:semiHidden/>
    <w:unhideWhenUsed/>
    <w:rsid w:val="009E5B16"/>
    <w:rPr>
      <w:b/>
      <w:bCs/>
    </w:rPr>
  </w:style>
  <w:style w:type="character" w:customStyle="1" w:styleId="CommentSubjectChar">
    <w:name w:val="Comment Subject Char"/>
    <w:basedOn w:val="CommentTextChar"/>
    <w:link w:val="CommentSubject"/>
    <w:uiPriority w:val="99"/>
    <w:semiHidden/>
    <w:rsid w:val="009E5B16"/>
    <w:rPr>
      <w:b/>
      <w:bCs/>
      <w:sz w:val="20"/>
      <w:szCs w:val="20"/>
    </w:rPr>
  </w:style>
  <w:style w:type="character" w:customStyle="1" w:styleId="Heading1Char">
    <w:name w:val="Heading 1 Char"/>
    <w:basedOn w:val="DefaultParagraphFont"/>
    <w:link w:val="Heading1"/>
    <w:uiPriority w:val="9"/>
    <w:rsid w:val="00A87EC7"/>
    <w:rPr>
      <w:b/>
      <w:bCs/>
      <w:smallCaps/>
      <w:shd w:val="pct5" w:color="auto" w:fill="auto"/>
    </w:rPr>
  </w:style>
  <w:style w:type="character" w:customStyle="1" w:styleId="Heading2Char">
    <w:name w:val="Heading 2 Char"/>
    <w:basedOn w:val="DefaultParagraphFont"/>
    <w:link w:val="Heading2"/>
    <w:uiPriority w:val="9"/>
    <w:rsid w:val="00A87EC7"/>
    <w:rPr>
      <w:b/>
      <w:bCs/>
      <w:smallCaps/>
      <w:u w:val="single"/>
    </w:rPr>
  </w:style>
  <w:style w:type="paragraph" w:styleId="TOC1">
    <w:name w:val="toc 1"/>
    <w:basedOn w:val="Normal"/>
    <w:next w:val="Normal"/>
    <w:autoRedefine/>
    <w:uiPriority w:val="39"/>
    <w:unhideWhenUsed/>
    <w:rsid w:val="00E9545C"/>
    <w:pPr>
      <w:spacing w:after="100"/>
    </w:pPr>
  </w:style>
  <w:style w:type="paragraph" w:styleId="TOC2">
    <w:name w:val="toc 2"/>
    <w:basedOn w:val="Normal"/>
    <w:next w:val="Normal"/>
    <w:autoRedefine/>
    <w:uiPriority w:val="39"/>
    <w:unhideWhenUsed/>
    <w:rsid w:val="00E9545C"/>
    <w:pPr>
      <w:spacing w:after="100"/>
      <w:ind w:left="240"/>
    </w:pPr>
  </w:style>
  <w:style w:type="character" w:styleId="Hyperlink">
    <w:name w:val="Hyperlink"/>
    <w:basedOn w:val="DefaultParagraphFont"/>
    <w:uiPriority w:val="99"/>
    <w:unhideWhenUsed/>
    <w:rsid w:val="00E9545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8ECE60-7D95-49CE-9345-A0AAC4C228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1244</TotalTime>
  <Pages>8</Pages>
  <Words>2009</Words>
  <Characters>11453</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Priyanka Saha</dc:creator>
  <cp:keywords/>
  <dc:description/>
  <cp:lastModifiedBy>Priyanka Saha</cp:lastModifiedBy>
  <cp:revision>45</cp:revision>
  <dcterms:created xsi:type="dcterms:W3CDTF">2022-02-07T04:54:00Z</dcterms:created>
  <dcterms:modified xsi:type="dcterms:W3CDTF">2022-02-21T04:18:00Z</dcterms:modified>
</cp:coreProperties>
</file>