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F2087D" w14:textId="34A343BB" w:rsidR="000B4CD9" w:rsidRPr="000B4CD9" w:rsidRDefault="000B4CD9" w:rsidP="000B4CD9">
      <w:pPr>
        <w:spacing w:line="360" w:lineRule="auto"/>
        <w:jc w:val="center"/>
        <w:rPr>
          <w:rFonts w:ascii="Times New Roman" w:hAnsi="Times New Roman" w:cs="Times New Roman"/>
          <w:b/>
          <w:bCs/>
          <w:sz w:val="52"/>
          <w:szCs w:val="52"/>
          <w:lang w:val="en-US"/>
        </w:rPr>
      </w:pPr>
      <w:r w:rsidRPr="000B4CD9">
        <w:rPr>
          <w:rFonts w:ascii="Times New Roman" w:hAnsi="Times New Roman" w:cs="Times New Roman"/>
          <w:b/>
          <w:bCs/>
          <w:sz w:val="52"/>
          <w:szCs w:val="52"/>
          <w:lang w:val="en-US"/>
        </w:rPr>
        <w:t>Topic- Covid-19 and Contractual Disputes in India: A Socio Legal Study.</w:t>
      </w:r>
    </w:p>
    <w:p w14:paraId="14E170BB" w14:textId="77777777" w:rsidR="000B4CD9" w:rsidRPr="000B4CD9" w:rsidRDefault="000B4CD9" w:rsidP="000B4CD9">
      <w:pPr>
        <w:spacing w:line="360" w:lineRule="auto"/>
        <w:jc w:val="center"/>
        <w:rPr>
          <w:rFonts w:ascii="Times New Roman" w:hAnsi="Times New Roman" w:cs="Times New Roman"/>
          <w:b/>
          <w:bCs/>
          <w:sz w:val="52"/>
          <w:szCs w:val="52"/>
          <w:lang w:val="en-US"/>
        </w:rPr>
      </w:pPr>
    </w:p>
    <w:p w14:paraId="4F798DFC" w14:textId="1A6B0C0A" w:rsidR="000B4CD9" w:rsidRPr="000B4CD9" w:rsidRDefault="000B4CD9" w:rsidP="000B4CD9">
      <w:pPr>
        <w:spacing w:line="360" w:lineRule="auto"/>
        <w:jc w:val="center"/>
        <w:rPr>
          <w:rFonts w:ascii="Times New Roman" w:hAnsi="Times New Roman" w:cs="Times New Roman"/>
          <w:b/>
          <w:bCs/>
          <w:sz w:val="52"/>
          <w:szCs w:val="52"/>
          <w:lang w:val="en-US"/>
        </w:rPr>
      </w:pPr>
      <w:r w:rsidRPr="000B4CD9">
        <w:rPr>
          <w:rFonts w:ascii="Times New Roman" w:hAnsi="Times New Roman" w:cs="Times New Roman"/>
          <w:b/>
          <w:bCs/>
          <w:sz w:val="52"/>
          <w:szCs w:val="52"/>
          <w:lang w:val="en-US"/>
        </w:rPr>
        <w:t xml:space="preserve">Submitted </w:t>
      </w:r>
      <w:r>
        <w:rPr>
          <w:rFonts w:ascii="Times New Roman" w:hAnsi="Times New Roman" w:cs="Times New Roman"/>
          <w:b/>
          <w:bCs/>
          <w:sz w:val="52"/>
          <w:szCs w:val="52"/>
          <w:lang w:val="en-US"/>
        </w:rPr>
        <w:t>B</w:t>
      </w:r>
      <w:r w:rsidRPr="000B4CD9">
        <w:rPr>
          <w:rFonts w:ascii="Times New Roman" w:hAnsi="Times New Roman" w:cs="Times New Roman"/>
          <w:b/>
          <w:bCs/>
          <w:sz w:val="52"/>
          <w:szCs w:val="52"/>
          <w:lang w:val="en-US"/>
        </w:rPr>
        <w:t>y- Ishanee Kapoor</w:t>
      </w:r>
      <w:r>
        <w:rPr>
          <w:rFonts w:ascii="Times New Roman" w:hAnsi="Times New Roman" w:cs="Times New Roman"/>
          <w:b/>
          <w:bCs/>
          <w:sz w:val="52"/>
          <w:szCs w:val="52"/>
          <w:lang w:val="en-US"/>
        </w:rPr>
        <w:t>.</w:t>
      </w:r>
    </w:p>
    <w:p w14:paraId="5A1F005D" w14:textId="77777777" w:rsidR="000B4CD9" w:rsidRDefault="000B4CD9" w:rsidP="00983EC6">
      <w:pPr>
        <w:spacing w:line="360" w:lineRule="auto"/>
        <w:jc w:val="both"/>
        <w:rPr>
          <w:rFonts w:ascii="Times New Roman" w:hAnsi="Times New Roman" w:cs="Times New Roman"/>
          <w:b/>
          <w:bCs/>
          <w:sz w:val="24"/>
          <w:szCs w:val="24"/>
          <w:lang w:val="en-US"/>
        </w:rPr>
      </w:pPr>
    </w:p>
    <w:p w14:paraId="1579B4DE" w14:textId="77777777" w:rsidR="000B4CD9" w:rsidRDefault="000B4CD9" w:rsidP="00983EC6">
      <w:pPr>
        <w:spacing w:line="360" w:lineRule="auto"/>
        <w:jc w:val="both"/>
        <w:rPr>
          <w:rFonts w:ascii="Times New Roman" w:hAnsi="Times New Roman" w:cs="Times New Roman"/>
          <w:b/>
          <w:bCs/>
          <w:sz w:val="24"/>
          <w:szCs w:val="24"/>
          <w:lang w:val="en-US"/>
        </w:rPr>
      </w:pPr>
    </w:p>
    <w:p w14:paraId="4ED09743" w14:textId="77777777" w:rsidR="000B4CD9" w:rsidRDefault="000B4CD9" w:rsidP="00983EC6">
      <w:pPr>
        <w:spacing w:line="360" w:lineRule="auto"/>
        <w:jc w:val="both"/>
        <w:rPr>
          <w:rFonts w:ascii="Times New Roman" w:hAnsi="Times New Roman" w:cs="Times New Roman"/>
          <w:b/>
          <w:bCs/>
          <w:sz w:val="24"/>
          <w:szCs w:val="24"/>
          <w:lang w:val="en-US"/>
        </w:rPr>
      </w:pPr>
    </w:p>
    <w:p w14:paraId="65E7F211" w14:textId="77777777" w:rsidR="000B4CD9" w:rsidRDefault="000B4CD9" w:rsidP="00983EC6">
      <w:pPr>
        <w:spacing w:line="360" w:lineRule="auto"/>
        <w:jc w:val="both"/>
        <w:rPr>
          <w:rFonts w:ascii="Times New Roman" w:hAnsi="Times New Roman" w:cs="Times New Roman"/>
          <w:b/>
          <w:bCs/>
          <w:sz w:val="24"/>
          <w:szCs w:val="24"/>
          <w:lang w:val="en-US"/>
        </w:rPr>
      </w:pPr>
    </w:p>
    <w:p w14:paraId="09792525" w14:textId="77777777" w:rsidR="000B4CD9" w:rsidRDefault="000B4CD9" w:rsidP="00983EC6">
      <w:pPr>
        <w:spacing w:line="360" w:lineRule="auto"/>
        <w:jc w:val="both"/>
        <w:rPr>
          <w:rFonts w:ascii="Times New Roman" w:hAnsi="Times New Roman" w:cs="Times New Roman"/>
          <w:b/>
          <w:bCs/>
          <w:sz w:val="24"/>
          <w:szCs w:val="24"/>
          <w:lang w:val="en-US"/>
        </w:rPr>
      </w:pPr>
    </w:p>
    <w:p w14:paraId="1FE12E27" w14:textId="77777777" w:rsidR="000B4CD9" w:rsidRDefault="000B4CD9" w:rsidP="00983EC6">
      <w:pPr>
        <w:spacing w:line="360" w:lineRule="auto"/>
        <w:jc w:val="both"/>
        <w:rPr>
          <w:rFonts w:ascii="Times New Roman" w:hAnsi="Times New Roman" w:cs="Times New Roman"/>
          <w:b/>
          <w:bCs/>
          <w:sz w:val="24"/>
          <w:szCs w:val="24"/>
          <w:lang w:val="en-US"/>
        </w:rPr>
      </w:pPr>
    </w:p>
    <w:p w14:paraId="4A6F66CD" w14:textId="77777777" w:rsidR="000B4CD9" w:rsidRDefault="000B4CD9" w:rsidP="00983EC6">
      <w:pPr>
        <w:spacing w:line="360" w:lineRule="auto"/>
        <w:jc w:val="both"/>
        <w:rPr>
          <w:rFonts w:ascii="Times New Roman" w:hAnsi="Times New Roman" w:cs="Times New Roman"/>
          <w:b/>
          <w:bCs/>
          <w:sz w:val="24"/>
          <w:szCs w:val="24"/>
          <w:lang w:val="en-US"/>
        </w:rPr>
      </w:pPr>
    </w:p>
    <w:p w14:paraId="3E26CEA9" w14:textId="77777777" w:rsidR="000B4CD9" w:rsidRDefault="000B4CD9" w:rsidP="00983EC6">
      <w:pPr>
        <w:spacing w:line="360" w:lineRule="auto"/>
        <w:jc w:val="both"/>
        <w:rPr>
          <w:rFonts w:ascii="Times New Roman" w:hAnsi="Times New Roman" w:cs="Times New Roman"/>
          <w:b/>
          <w:bCs/>
          <w:sz w:val="24"/>
          <w:szCs w:val="24"/>
          <w:lang w:val="en-US"/>
        </w:rPr>
      </w:pPr>
    </w:p>
    <w:p w14:paraId="492F8F73" w14:textId="77777777" w:rsidR="000B4CD9" w:rsidRDefault="000B4CD9" w:rsidP="00983EC6">
      <w:pPr>
        <w:spacing w:line="360" w:lineRule="auto"/>
        <w:jc w:val="both"/>
        <w:rPr>
          <w:rFonts w:ascii="Times New Roman" w:hAnsi="Times New Roman" w:cs="Times New Roman"/>
          <w:b/>
          <w:bCs/>
          <w:sz w:val="24"/>
          <w:szCs w:val="24"/>
          <w:lang w:val="en-US"/>
        </w:rPr>
      </w:pPr>
    </w:p>
    <w:p w14:paraId="2F56EFDE" w14:textId="77777777" w:rsidR="000B4CD9" w:rsidRDefault="000B4CD9" w:rsidP="00983EC6">
      <w:pPr>
        <w:spacing w:line="360" w:lineRule="auto"/>
        <w:jc w:val="both"/>
        <w:rPr>
          <w:rFonts w:ascii="Times New Roman" w:hAnsi="Times New Roman" w:cs="Times New Roman"/>
          <w:b/>
          <w:bCs/>
          <w:sz w:val="24"/>
          <w:szCs w:val="24"/>
          <w:lang w:val="en-US"/>
        </w:rPr>
      </w:pPr>
    </w:p>
    <w:p w14:paraId="79F888E5" w14:textId="77777777" w:rsidR="000B4CD9" w:rsidRDefault="000B4CD9" w:rsidP="00983EC6">
      <w:pPr>
        <w:spacing w:line="360" w:lineRule="auto"/>
        <w:jc w:val="both"/>
        <w:rPr>
          <w:rFonts w:ascii="Times New Roman" w:hAnsi="Times New Roman" w:cs="Times New Roman"/>
          <w:b/>
          <w:bCs/>
          <w:sz w:val="24"/>
          <w:szCs w:val="24"/>
          <w:lang w:val="en-US"/>
        </w:rPr>
      </w:pPr>
    </w:p>
    <w:p w14:paraId="392531B7" w14:textId="77777777" w:rsidR="000B4CD9" w:rsidRDefault="000B4CD9" w:rsidP="00983EC6">
      <w:pPr>
        <w:spacing w:line="360" w:lineRule="auto"/>
        <w:jc w:val="both"/>
        <w:rPr>
          <w:rFonts w:ascii="Times New Roman" w:hAnsi="Times New Roman" w:cs="Times New Roman"/>
          <w:b/>
          <w:bCs/>
          <w:sz w:val="24"/>
          <w:szCs w:val="24"/>
          <w:lang w:val="en-US"/>
        </w:rPr>
      </w:pPr>
    </w:p>
    <w:p w14:paraId="55C11F7C" w14:textId="77777777" w:rsidR="000B4CD9" w:rsidRDefault="000B4CD9" w:rsidP="00983EC6">
      <w:pPr>
        <w:spacing w:line="360" w:lineRule="auto"/>
        <w:jc w:val="both"/>
        <w:rPr>
          <w:rFonts w:ascii="Times New Roman" w:hAnsi="Times New Roman" w:cs="Times New Roman"/>
          <w:b/>
          <w:bCs/>
          <w:sz w:val="24"/>
          <w:szCs w:val="24"/>
          <w:lang w:val="en-US"/>
        </w:rPr>
      </w:pPr>
    </w:p>
    <w:p w14:paraId="2C6BE0DE" w14:textId="77777777" w:rsidR="000B4CD9" w:rsidRDefault="000B4CD9" w:rsidP="00983EC6">
      <w:pPr>
        <w:spacing w:line="360" w:lineRule="auto"/>
        <w:jc w:val="both"/>
        <w:rPr>
          <w:rFonts w:ascii="Times New Roman" w:hAnsi="Times New Roman" w:cs="Times New Roman"/>
          <w:b/>
          <w:bCs/>
          <w:sz w:val="24"/>
          <w:szCs w:val="24"/>
          <w:lang w:val="en-US"/>
        </w:rPr>
      </w:pPr>
    </w:p>
    <w:p w14:paraId="75A9F2A2" w14:textId="77777777" w:rsidR="000B4CD9" w:rsidRDefault="000B4CD9" w:rsidP="00983EC6">
      <w:pPr>
        <w:spacing w:line="360" w:lineRule="auto"/>
        <w:jc w:val="both"/>
        <w:rPr>
          <w:rFonts w:ascii="Times New Roman" w:hAnsi="Times New Roman" w:cs="Times New Roman"/>
          <w:b/>
          <w:bCs/>
          <w:sz w:val="24"/>
          <w:szCs w:val="24"/>
          <w:lang w:val="en-US"/>
        </w:rPr>
      </w:pPr>
    </w:p>
    <w:p w14:paraId="4D0F9B80" w14:textId="77777777" w:rsidR="002A36CE" w:rsidRDefault="002A36CE" w:rsidP="00983EC6">
      <w:pPr>
        <w:spacing w:line="360" w:lineRule="auto"/>
        <w:jc w:val="both"/>
        <w:rPr>
          <w:rFonts w:ascii="Times New Roman" w:hAnsi="Times New Roman" w:cs="Times New Roman"/>
          <w:b/>
          <w:bCs/>
          <w:sz w:val="24"/>
          <w:szCs w:val="24"/>
          <w:lang w:val="en-US"/>
        </w:rPr>
      </w:pPr>
    </w:p>
    <w:p w14:paraId="659913E0" w14:textId="77777777" w:rsidR="002A36CE" w:rsidRDefault="002A36CE" w:rsidP="00983EC6">
      <w:pPr>
        <w:spacing w:line="360" w:lineRule="auto"/>
        <w:jc w:val="both"/>
        <w:rPr>
          <w:rFonts w:ascii="Times New Roman" w:hAnsi="Times New Roman" w:cs="Times New Roman"/>
          <w:b/>
          <w:bCs/>
          <w:sz w:val="24"/>
          <w:szCs w:val="24"/>
          <w:lang w:val="en-US"/>
        </w:rPr>
      </w:pPr>
    </w:p>
    <w:p w14:paraId="0F38F95A" w14:textId="6ACD6B45" w:rsidR="00A97BA5" w:rsidRPr="00983EC6" w:rsidRDefault="000F1266" w:rsidP="00983EC6">
      <w:pPr>
        <w:spacing w:line="360" w:lineRule="auto"/>
        <w:jc w:val="both"/>
        <w:rPr>
          <w:rFonts w:ascii="Times New Roman" w:hAnsi="Times New Roman" w:cs="Times New Roman"/>
          <w:b/>
          <w:bCs/>
          <w:sz w:val="24"/>
          <w:szCs w:val="24"/>
          <w:lang w:val="en-US"/>
        </w:rPr>
      </w:pPr>
      <w:r w:rsidRPr="00983EC6">
        <w:rPr>
          <w:rFonts w:ascii="Times New Roman" w:hAnsi="Times New Roman" w:cs="Times New Roman"/>
          <w:b/>
          <w:bCs/>
          <w:sz w:val="24"/>
          <w:szCs w:val="24"/>
          <w:lang w:val="en-US"/>
        </w:rPr>
        <w:lastRenderedPageBreak/>
        <w:t>Introduction</w:t>
      </w:r>
    </w:p>
    <w:p w14:paraId="2D0AF040" w14:textId="77777777" w:rsidR="000F1266" w:rsidRPr="00983EC6" w:rsidRDefault="000F1266" w:rsidP="00983EC6">
      <w:pPr>
        <w:spacing w:line="360" w:lineRule="auto"/>
        <w:jc w:val="both"/>
        <w:rPr>
          <w:rFonts w:ascii="Times New Roman" w:hAnsi="Times New Roman" w:cs="Times New Roman"/>
          <w:sz w:val="24"/>
          <w:szCs w:val="24"/>
          <w:lang w:val="en-US"/>
        </w:rPr>
      </w:pPr>
      <w:r w:rsidRPr="00983EC6">
        <w:rPr>
          <w:rFonts w:ascii="Times New Roman" w:hAnsi="Times New Roman" w:cs="Times New Roman"/>
          <w:sz w:val="24"/>
          <w:szCs w:val="24"/>
          <w:lang w:val="en-US"/>
        </w:rPr>
        <w:t>COVID-19's exceptional instability has hampered the routine fulfilment of contractual obligations. Logistical challenges, health and safety concerns, and government-ordered 'lock-downs' for extended periods of time have thrown life and business into disarray on an unprecedented scale. Delays, payment defaults, and a failure or refusal to fulfil contractual promises and stipulations abound in the post-Covid era.</w:t>
      </w:r>
    </w:p>
    <w:p w14:paraId="7AF574E7" w14:textId="59509B0A" w:rsidR="000F1266" w:rsidRPr="00983EC6" w:rsidRDefault="000F1266" w:rsidP="00983EC6">
      <w:pPr>
        <w:spacing w:line="360" w:lineRule="auto"/>
        <w:jc w:val="both"/>
        <w:rPr>
          <w:rFonts w:ascii="Times New Roman" w:hAnsi="Times New Roman" w:cs="Times New Roman"/>
          <w:sz w:val="24"/>
          <w:szCs w:val="24"/>
          <w:lang w:val="en-US"/>
        </w:rPr>
      </w:pPr>
      <w:r w:rsidRPr="00983EC6">
        <w:rPr>
          <w:rFonts w:ascii="Times New Roman" w:hAnsi="Times New Roman" w:cs="Times New Roman"/>
          <w:sz w:val="24"/>
          <w:szCs w:val="24"/>
          <w:lang w:val="en-US"/>
        </w:rPr>
        <w:t>Contracting parties want to know what their rights and remedies are in the current circumstances. Many people want to know if the doctrine of force majeure or frustration can legally relieve parties or their counterparts from fulfilling contractual obligations.</w:t>
      </w:r>
      <w:r w:rsidRPr="00983EC6">
        <w:rPr>
          <w:rFonts w:ascii="Times New Roman" w:hAnsi="Times New Roman" w:cs="Times New Roman"/>
          <w:sz w:val="24"/>
          <w:szCs w:val="24"/>
        </w:rPr>
        <w:t xml:space="preserve"> </w:t>
      </w:r>
      <w:r w:rsidRPr="00983EC6">
        <w:rPr>
          <w:rFonts w:ascii="Times New Roman" w:hAnsi="Times New Roman" w:cs="Times New Roman"/>
          <w:sz w:val="24"/>
          <w:szCs w:val="24"/>
          <w:lang w:val="en-US"/>
        </w:rPr>
        <w:t>In contrast to the legal notion of frustration, force majeure is a contractual stipulation. Due to force majeure, parties, lawyers, and eventually courts will have to interpret contracts to see if there is an exclusion provision that addresses the implications of an epidemic like COVID-19.</w:t>
      </w:r>
    </w:p>
    <w:p w14:paraId="1C47AD7C" w14:textId="0458C061" w:rsidR="000F1266" w:rsidRPr="00983EC6" w:rsidRDefault="000F1266" w:rsidP="00983EC6">
      <w:pPr>
        <w:spacing w:line="360" w:lineRule="auto"/>
        <w:jc w:val="both"/>
        <w:rPr>
          <w:rFonts w:ascii="Times New Roman" w:hAnsi="Times New Roman" w:cs="Times New Roman"/>
          <w:sz w:val="24"/>
          <w:szCs w:val="24"/>
          <w:lang w:val="en-US"/>
        </w:rPr>
      </w:pPr>
      <w:r w:rsidRPr="00983EC6">
        <w:rPr>
          <w:rFonts w:ascii="Times New Roman" w:hAnsi="Times New Roman" w:cs="Times New Roman"/>
          <w:sz w:val="24"/>
          <w:szCs w:val="24"/>
          <w:lang w:val="en-US"/>
        </w:rPr>
        <w:t>When there are no COVID-19 exclusions in the contract, the doctrine of frustration applies. Section 56 of the Indian Contract Act of 1872 makes provision for frustration (Act).</w:t>
      </w:r>
    </w:p>
    <w:p w14:paraId="5BD8F25F" w14:textId="46E54E97" w:rsidR="000F1266" w:rsidRPr="00983EC6" w:rsidRDefault="000F1266" w:rsidP="00983EC6">
      <w:pPr>
        <w:spacing w:line="360" w:lineRule="auto"/>
        <w:jc w:val="both"/>
        <w:rPr>
          <w:rFonts w:ascii="Times New Roman" w:hAnsi="Times New Roman" w:cs="Times New Roman"/>
          <w:sz w:val="24"/>
          <w:szCs w:val="24"/>
          <w:lang w:val="en-US"/>
        </w:rPr>
      </w:pPr>
      <w:r w:rsidRPr="00983EC6">
        <w:rPr>
          <w:rFonts w:ascii="Times New Roman" w:hAnsi="Times New Roman" w:cs="Times New Roman"/>
          <w:sz w:val="24"/>
          <w:szCs w:val="24"/>
          <w:lang w:val="en-US"/>
        </w:rPr>
        <w:t xml:space="preserve">It is important to note that neither doctrine is a "magic bullet" that allows parties to avoid fulfilling legally agreed-upon duties. Much will be determined by the facts of each case, the contract's clauses, the nature of the intervening event(s), the loss's causal effects, and each party's responsibility to mitigate. The court's general approach is to interpret such phrases narrowly, </w:t>
      </w:r>
      <w:r w:rsidR="00983EC6" w:rsidRPr="00983EC6">
        <w:rPr>
          <w:rFonts w:ascii="Times New Roman" w:hAnsi="Times New Roman" w:cs="Times New Roman"/>
          <w:sz w:val="24"/>
          <w:szCs w:val="24"/>
          <w:lang w:val="en-US"/>
        </w:rPr>
        <w:t>i.e.,</w:t>
      </w:r>
      <w:r w:rsidRPr="00983EC6">
        <w:rPr>
          <w:rFonts w:ascii="Times New Roman" w:hAnsi="Times New Roman" w:cs="Times New Roman"/>
          <w:sz w:val="24"/>
          <w:szCs w:val="24"/>
          <w:lang w:val="en-US"/>
        </w:rPr>
        <w:t xml:space="preserve"> contra </w:t>
      </w:r>
      <w:proofErr w:type="spellStart"/>
      <w:r w:rsidRPr="00983EC6">
        <w:rPr>
          <w:rFonts w:ascii="Times New Roman" w:hAnsi="Times New Roman" w:cs="Times New Roman"/>
          <w:sz w:val="24"/>
          <w:szCs w:val="24"/>
          <w:lang w:val="en-US"/>
        </w:rPr>
        <w:t>preferentum</w:t>
      </w:r>
      <w:proofErr w:type="spellEnd"/>
      <w:r w:rsidRPr="00983EC6">
        <w:rPr>
          <w:rFonts w:ascii="Times New Roman" w:hAnsi="Times New Roman" w:cs="Times New Roman"/>
          <w:sz w:val="24"/>
          <w:szCs w:val="24"/>
          <w:lang w:val="en-US"/>
        </w:rPr>
        <w:t>.</w:t>
      </w:r>
    </w:p>
    <w:p w14:paraId="432D357F" w14:textId="69284D69" w:rsidR="000F1266" w:rsidRPr="00983EC6" w:rsidRDefault="00EC2D0E" w:rsidP="00983EC6">
      <w:pPr>
        <w:spacing w:line="360" w:lineRule="auto"/>
        <w:jc w:val="both"/>
        <w:rPr>
          <w:rFonts w:ascii="Times New Roman" w:hAnsi="Times New Roman" w:cs="Times New Roman"/>
          <w:b/>
          <w:bCs/>
          <w:sz w:val="24"/>
          <w:szCs w:val="24"/>
          <w:lang w:val="en-US"/>
        </w:rPr>
      </w:pPr>
      <w:r w:rsidRPr="00983EC6">
        <w:rPr>
          <w:rFonts w:ascii="Times New Roman" w:hAnsi="Times New Roman" w:cs="Times New Roman"/>
          <w:b/>
          <w:bCs/>
          <w:sz w:val="24"/>
          <w:szCs w:val="24"/>
          <w:lang w:val="en-US"/>
        </w:rPr>
        <w:t>Contractual Clauses during Covid-19</w:t>
      </w:r>
    </w:p>
    <w:p w14:paraId="4A2E93C7" w14:textId="2F5D545D" w:rsidR="00EC2D0E" w:rsidRPr="00983EC6" w:rsidRDefault="00EC2D0E" w:rsidP="00983EC6">
      <w:pPr>
        <w:spacing w:line="360" w:lineRule="auto"/>
        <w:jc w:val="both"/>
        <w:rPr>
          <w:rFonts w:ascii="Times New Roman" w:hAnsi="Times New Roman" w:cs="Times New Roman"/>
          <w:b/>
          <w:bCs/>
          <w:sz w:val="24"/>
          <w:szCs w:val="24"/>
          <w:lang w:val="en-US"/>
        </w:rPr>
      </w:pPr>
      <w:r w:rsidRPr="00983EC6">
        <w:rPr>
          <w:rFonts w:ascii="Times New Roman" w:hAnsi="Times New Roman" w:cs="Times New Roman"/>
          <w:b/>
          <w:bCs/>
          <w:sz w:val="24"/>
          <w:szCs w:val="24"/>
          <w:lang w:val="en-US"/>
        </w:rPr>
        <w:t xml:space="preserve">Force Majeure </w:t>
      </w:r>
    </w:p>
    <w:p w14:paraId="2A7A435C" w14:textId="43CA3CE5" w:rsidR="00EC2D0E" w:rsidRPr="00983EC6" w:rsidRDefault="00EC2D0E" w:rsidP="00983EC6">
      <w:pPr>
        <w:spacing w:line="360" w:lineRule="auto"/>
        <w:jc w:val="both"/>
        <w:rPr>
          <w:rFonts w:ascii="Times New Roman" w:hAnsi="Times New Roman" w:cs="Times New Roman"/>
          <w:sz w:val="24"/>
          <w:szCs w:val="24"/>
          <w:lang w:val="en-US"/>
        </w:rPr>
      </w:pPr>
      <w:r w:rsidRPr="00983EC6">
        <w:rPr>
          <w:rFonts w:ascii="Times New Roman" w:hAnsi="Times New Roman" w:cs="Times New Roman"/>
          <w:sz w:val="24"/>
          <w:szCs w:val="24"/>
          <w:lang w:val="en-US"/>
        </w:rPr>
        <w:t>Black's Law Dictionary defines force-majeure clause as 'A contractual provision allocating the risk if performance becomes impossible or impracticable, esp. as a result of an event or effect that the parties could not have anticipated or controlled.'</w:t>
      </w:r>
      <w:r w:rsidR="001B0E6D" w:rsidRPr="00983EC6">
        <w:rPr>
          <w:rStyle w:val="FootnoteReference"/>
          <w:rFonts w:ascii="Times New Roman" w:hAnsi="Times New Roman" w:cs="Times New Roman"/>
          <w:sz w:val="24"/>
          <w:szCs w:val="24"/>
          <w:lang w:val="en-US"/>
        </w:rPr>
        <w:footnoteReference w:id="1"/>
      </w:r>
    </w:p>
    <w:p w14:paraId="408EE965" w14:textId="101F9D74" w:rsidR="001B0E6D" w:rsidRPr="00983EC6" w:rsidRDefault="009E1CF7" w:rsidP="00983EC6">
      <w:pPr>
        <w:spacing w:line="360" w:lineRule="auto"/>
        <w:jc w:val="both"/>
        <w:rPr>
          <w:rFonts w:ascii="Times New Roman" w:hAnsi="Times New Roman" w:cs="Times New Roman"/>
          <w:sz w:val="24"/>
          <w:szCs w:val="24"/>
          <w:lang w:val="en-US"/>
        </w:rPr>
      </w:pPr>
      <w:r w:rsidRPr="00983EC6">
        <w:rPr>
          <w:rFonts w:ascii="Times New Roman" w:hAnsi="Times New Roman" w:cs="Times New Roman"/>
          <w:sz w:val="24"/>
          <w:szCs w:val="24"/>
          <w:lang w:val="en-US"/>
        </w:rPr>
        <w:t xml:space="preserve">Contracts contain force majeure clauses that exempt one or more parties from fulfilling their obligations if a particular event occurs (s). The text of COVID-19 and the surrounding </w:t>
      </w:r>
      <w:r w:rsidRPr="00983EC6">
        <w:rPr>
          <w:rFonts w:ascii="Times New Roman" w:hAnsi="Times New Roman" w:cs="Times New Roman"/>
          <w:sz w:val="24"/>
          <w:szCs w:val="24"/>
          <w:lang w:val="en-US"/>
        </w:rPr>
        <w:lastRenderedPageBreak/>
        <w:t>circumstances determine whether it can be considered as a force majeure situation. The following elements play an important role in establishing whether or not force majeure applies:</w:t>
      </w:r>
    </w:p>
    <w:p w14:paraId="70C56029" w14:textId="38DC5B6E" w:rsidR="009E1CF7" w:rsidRPr="00983EC6" w:rsidRDefault="009E1CF7" w:rsidP="00983EC6">
      <w:pPr>
        <w:spacing w:line="360" w:lineRule="auto"/>
        <w:jc w:val="both"/>
        <w:rPr>
          <w:rFonts w:ascii="Times New Roman" w:hAnsi="Times New Roman" w:cs="Times New Roman"/>
          <w:b/>
          <w:bCs/>
          <w:sz w:val="24"/>
          <w:szCs w:val="24"/>
          <w:lang w:val="en-US"/>
        </w:rPr>
      </w:pPr>
      <w:r w:rsidRPr="00983EC6">
        <w:rPr>
          <w:rFonts w:ascii="Times New Roman" w:hAnsi="Times New Roman" w:cs="Times New Roman"/>
          <w:b/>
          <w:bCs/>
          <w:sz w:val="24"/>
          <w:szCs w:val="24"/>
          <w:lang w:val="en-US"/>
        </w:rPr>
        <w:t>The express terms of the clause</w:t>
      </w:r>
    </w:p>
    <w:p w14:paraId="27E81FE4" w14:textId="01650281" w:rsidR="009E1CF7" w:rsidRPr="00983EC6" w:rsidRDefault="009E1CF7" w:rsidP="00983EC6">
      <w:pPr>
        <w:spacing w:line="360" w:lineRule="auto"/>
        <w:jc w:val="both"/>
        <w:rPr>
          <w:rFonts w:ascii="Times New Roman" w:hAnsi="Times New Roman" w:cs="Times New Roman"/>
          <w:sz w:val="24"/>
          <w:szCs w:val="24"/>
          <w:lang w:val="en-US"/>
        </w:rPr>
      </w:pPr>
      <w:r w:rsidRPr="00983EC6">
        <w:rPr>
          <w:rFonts w:ascii="Times New Roman" w:hAnsi="Times New Roman" w:cs="Times New Roman"/>
          <w:sz w:val="24"/>
          <w:szCs w:val="24"/>
          <w:lang w:val="en-US"/>
        </w:rPr>
        <w:t xml:space="preserve">Typically, force majeure clauses specify a list of situations that qualify as force majeure. As a result, terminology like "pandemic" and "epidemic" will be important in establishing if COVID-19 is a force majeure event. Most contracts signed previous to COVID-19 do not specifically include it. As a result, parties will need to determine whether the exclusion clause's list of events is exhaustive or merely descriptive. </w:t>
      </w:r>
    </w:p>
    <w:p w14:paraId="1B1DAF9C" w14:textId="69706650" w:rsidR="009E1CF7" w:rsidRPr="00983EC6" w:rsidRDefault="009E1CF7" w:rsidP="00983EC6">
      <w:pPr>
        <w:spacing w:line="360" w:lineRule="auto"/>
        <w:jc w:val="both"/>
        <w:rPr>
          <w:rFonts w:ascii="Times New Roman" w:hAnsi="Times New Roman" w:cs="Times New Roman"/>
          <w:b/>
          <w:bCs/>
          <w:sz w:val="24"/>
          <w:szCs w:val="24"/>
          <w:lang w:val="en-US"/>
        </w:rPr>
      </w:pPr>
      <w:r w:rsidRPr="00983EC6">
        <w:rPr>
          <w:rFonts w:ascii="Times New Roman" w:hAnsi="Times New Roman" w:cs="Times New Roman"/>
          <w:b/>
          <w:bCs/>
          <w:sz w:val="24"/>
          <w:szCs w:val="24"/>
          <w:lang w:val="en-US"/>
        </w:rPr>
        <w:t>Open ended words</w:t>
      </w:r>
    </w:p>
    <w:p w14:paraId="1B557758" w14:textId="6AB620D3" w:rsidR="009E1CF7" w:rsidRPr="00983EC6" w:rsidRDefault="009E1CF7" w:rsidP="00983EC6">
      <w:pPr>
        <w:spacing w:line="360" w:lineRule="auto"/>
        <w:jc w:val="both"/>
        <w:rPr>
          <w:rFonts w:ascii="Times New Roman" w:hAnsi="Times New Roman" w:cs="Times New Roman"/>
          <w:sz w:val="24"/>
          <w:szCs w:val="24"/>
          <w:lang w:val="en-US"/>
        </w:rPr>
      </w:pPr>
      <w:r w:rsidRPr="00983EC6">
        <w:rPr>
          <w:rFonts w:ascii="Times New Roman" w:hAnsi="Times New Roman" w:cs="Times New Roman"/>
          <w:sz w:val="24"/>
          <w:szCs w:val="24"/>
          <w:lang w:val="en-US"/>
        </w:rPr>
        <w:t xml:space="preserve">COVID-19 may be viewed as a force majeure occurrence by a friendly court using terms like "unforeseen," "exceptional," and "beyond reasonable control of the parties," especially given governmental orders shutting down all business activities but basics. </w:t>
      </w:r>
      <w:r w:rsidR="006D212F" w:rsidRPr="00983EC6">
        <w:rPr>
          <w:rFonts w:ascii="Times New Roman" w:hAnsi="Times New Roman" w:cs="Times New Roman"/>
          <w:sz w:val="24"/>
          <w:szCs w:val="24"/>
          <w:lang w:val="en-US"/>
        </w:rPr>
        <w:t>Government of India has notified COVID-19 as a disaster under the Disaster Management Act, 2005. There is however no general rule in interpreting force majeure clauses, as the exclusions differs from case to case.</w:t>
      </w:r>
      <w:r w:rsidR="006D212F" w:rsidRPr="00983EC6">
        <w:rPr>
          <w:rStyle w:val="FootnoteReference"/>
          <w:rFonts w:ascii="Times New Roman" w:hAnsi="Times New Roman" w:cs="Times New Roman"/>
          <w:sz w:val="24"/>
          <w:szCs w:val="24"/>
          <w:lang w:val="en-US"/>
        </w:rPr>
        <w:footnoteReference w:id="2"/>
      </w:r>
    </w:p>
    <w:p w14:paraId="2E50E94F" w14:textId="77777777" w:rsidR="00D56391" w:rsidRPr="00983EC6" w:rsidRDefault="00D56391" w:rsidP="00983EC6">
      <w:pPr>
        <w:spacing w:line="360" w:lineRule="auto"/>
        <w:jc w:val="both"/>
        <w:rPr>
          <w:rFonts w:ascii="Times New Roman" w:hAnsi="Times New Roman" w:cs="Times New Roman"/>
          <w:b/>
          <w:bCs/>
          <w:sz w:val="24"/>
          <w:szCs w:val="24"/>
          <w:lang w:val="en-US"/>
        </w:rPr>
      </w:pPr>
      <w:r w:rsidRPr="00983EC6">
        <w:rPr>
          <w:rFonts w:ascii="Times New Roman" w:hAnsi="Times New Roman" w:cs="Times New Roman"/>
          <w:b/>
          <w:bCs/>
          <w:sz w:val="24"/>
          <w:szCs w:val="24"/>
          <w:lang w:val="en-US"/>
        </w:rPr>
        <w:t>Conditions for Invocation</w:t>
      </w:r>
    </w:p>
    <w:p w14:paraId="524585D0" w14:textId="71134E44" w:rsidR="00D56391" w:rsidRPr="00983EC6" w:rsidRDefault="00D56391" w:rsidP="00983EC6">
      <w:pPr>
        <w:spacing w:line="360" w:lineRule="auto"/>
        <w:jc w:val="both"/>
        <w:rPr>
          <w:rFonts w:ascii="Times New Roman" w:hAnsi="Times New Roman" w:cs="Times New Roman"/>
          <w:sz w:val="24"/>
          <w:szCs w:val="24"/>
          <w:lang w:val="en-US"/>
        </w:rPr>
      </w:pPr>
      <w:r w:rsidRPr="00983EC6">
        <w:rPr>
          <w:rFonts w:ascii="Times New Roman" w:hAnsi="Times New Roman" w:cs="Times New Roman"/>
          <w:sz w:val="24"/>
          <w:szCs w:val="24"/>
          <w:lang w:val="en-US"/>
        </w:rPr>
        <w:t>Despite the use of broad exclusionary language, many contracts contain conditions that must be met before a declaration of force majeure can be made. For example, the provision could provide that the supervening event must obstruct the contract's performance in some way, or that it must obstruct performance in some way.</w:t>
      </w:r>
    </w:p>
    <w:p w14:paraId="681637A9" w14:textId="016C740B" w:rsidR="00D56391" w:rsidRPr="00983EC6" w:rsidRDefault="00D56391" w:rsidP="00983EC6">
      <w:pPr>
        <w:spacing w:line="360" w:lineRule="auto"/>
        <w:jc w:val="both"/>
        <w:rPr>
          <w:rFonts w:ascii="Times New Roman" w:hAnsi="Times New Roman" w:cs="Times New Roman"/>
          <w:sz w:val="24"/>
          <w:szCs w:val="24"/>
          <w:lang w:val="en-US"/>
        </w:rPr>
      </w:pPr>
      <w:r w:rsidRPr="00983EC6">
        <w:rPr>
          <w:rFonts w:ascii="Times New Roman" w:hAnsi="Times New Roman" w:cs="Times New Roman"/>
          <w:sz w:val="24"/>
          <w:szCs w:val="24"/>
          <w:lang w:val="en-US"/>
        </w:rPr>
        <w:t>Much will hinge on the court's assessment of the actions of the party attempting to invoke COVID-19 as a force majeure event, as well as whether COVID-19 truly precluded such performance or is being used as a pretext to back out of a contract. Previous cases have revealed the following principles:</w:t>
      </w:r>
    </w:p>
    <w:p w14:paraId="72779DA3" w14:textId="77777777" w:rsidR="00D56391" w:rsidRPr="00983EC6" w:rsidRDefault="00D56391" w:rsidP="00983EC6">
      <w:pPr>
        <w:pStyle w:val="ListParagraph"/>
        <w:numPr>
          <w:ilvl w:val="0"/>
          <w:numId w:val="1"/>
        </w:numPr>
        <w:spacing w:line="360" w:lineRule="auto"/>
        <w:jc w:val="both"/>
        <w:rPr>
          <w:rFonts w:ascii="Times New Roman" w:hAnsi="Times New Roman" w:cs="Times New Roman"/>
          <w:sz w:val="24"/>
          <w:szCs w:val="24"/>
          <w:lang w:val="en-US"/>
        </w:rPr>
      </w:pPr>
      <w:r w:rsidRPr="00983EC6">
        <w:rPr>
          <w:rFonts w:ascii="Times New Roman" w:hAnsi="Times New Roman" w:cs="Times New Roman"/>
          <w:sz w:val="24"/>
          <w:szCs w:val="24"/>
          <w:lang w:val="en-US"/>
        </w:rPr>
        <w:t>A contract's difficulty in performing will not suffice to meet the criteria of impossibility of performance. As a result, trouble conducting business during COVID-19 may not be sufficient to allege force majeure.</w:t>
      </w:r>
    </w:p>
    <w:p w14:paraId="65C75660" w14:textId="77777777" w:rsidR="00D56391" w:rsidRPr="00983EC6" w:rsidRDefault="00D56391" w:rsidP="00983EC6">
      <w:pPr>
        <w:pStyle w:val="ListParagraph"/>
        <w:numPr>
          <w:ilvl w:val="0"/>
          <w:numId w:val="1"/>
        </w:numPr>
        <w:spacing w:line="360" w:lineRule="auto"/>
        <w:jc w:val="both"/>
        <w:rPr>
          <w:rFonts w:ascii="Times New Roman" w:hAnsi="Times New Roman" w:cs="Times New Roman"/>
          <w:sz w:val="24"/>
          <w:szCs w:val="24"/>
          <w:lang w:val="en-US"/>
        </w:rPr>
      </w:pPr>
      <w:r w:rsidRPr="00983EC6">
        <w:rPr>
          <w:rFonts w:ascii="Times New Roman" w:hAnsi="Times New Roman" w:cs="Times New Roman"/>
          <w:sz w:val="24"/>
          <w:szCs w:val="24"/>
          <w:lang w:val="en-US"/>
        </w:rPr>
        <w:lastRenderedPageBreak/>
        <w:t>a rise in the expense of completing the contract does not imply that performance is impossible or impossible to prevent. The cost of conducting business has clearly grown during COVID-19. However, this may not be sufficient to establish the use of force majeure.</w:t>
      </w:r>
    </w:p>
    <w:p w14:paraId="3129BC7C" w14:textId="77777777" w:rsidR="00D56391" w:rsidRPr="00983EC6" w:rsidRDefault="00D56391" w:rsidP="00983EC6">
      <w:pPr>
        <w:pStyle w:val="ListParagraph"/>
        <w:numPr>
          <w:ilvl w:val="0"/>
          <w:numId w:val="1"/>
        </w:numPr>
        <w:spacing w:line="360" w:lineRule="auto"/>
        <w:jc w:val="both"/>
        <w:rPr>
          <w:rFonts w:ascii="Times New Roman" w:hAnsi="Times New Roman" w:cs="Times New Roman"/>
          <w:sz w:val="24"/>
          <w:szCs w:val="24"/>
          <w:lang w:val="en-US"/>
        </w:rPr>
      </w:pPr>
      <w:r w:rsidRPr="00983EC6">
        <w:rPr>
          <w:rFonts w:ascii="Times New Roman" w:hAnsi="Times New Roman" w:cs="Times New Roman"/>
          <w:sz w:val="24"/>
          <w:szCs w:val="24"/>
          <w:lang w:val="en-US"/>
        </w:rPr>
        <w:t xml:space="preserve">Parties must show that an unanticipated supervening event is the sole reason of the failure to perform. Courts will not release parties from their obligations if other factors contributed to the default. The 'but for' test is another name for this. The court must be satisfied that parties would have discharged their obligations but for the supervening event. </w:t>
      </w:r>
    </w:p>
    <w:p w14:paraId="1E71605F" w14:textId="30D398E8" w:rsidR="00D56391" w:rsidRPr="00983EC6" w:rsidRDefault="00D56391" w:rsidP="00983EC6">
      <w:pPr>
        <w:pStyle w:val="ListParagraph"/>
        <w:numPr>
          <w:ilvl w:val="0"/>
          <w:numId w:val="1"/>
        </w:numPr>
        <w:spacing w:line="360" w:lineRule="auto"/>
        <w:jc w:val="both"/>
        <w:rPr>
          <w:rFonts w:ascii="Times New Roman" w:hAnsi="Times New Roman" w:cs="Times New Roman"/>
          <w:sz w:val="24"/>
          <w:szCs w:val="24"/>
          <w:lang w:val="en-US"/>
        </w:rPr>
      </w:pPr>
      <w:r w:rsidRPr="00983EC6">
        <w:rPr>
          <w:rFonts w:ascii="Times New Roman" w:hAnsi="Times New Roman" w:cs="Times New Roman"/>
          <w:sz w:val="24"/>
          <w:szCs w:val="24"/>
          <w:lang w:val="en-US"/>
        </w:rPr>
        <w:t>The supervening event rendering performance impossible must have occurred without the party's fault. This is relevant to critical businesses like shipping, which may be allowed to operate (with limits) if specific government approvals are obtained. If a party fails to obtain such clearance, the court may not release the party from contractual duties because the supervening event happened as a result of the party's failure to do so.</w:t>
      </w:r>
    </w:p>
    <w:p w14:paraId="6D93FE6F" w14:textId="77777777" w:rsidR="00D56391" w:rsidRPr="00983EC6" w:rsidRDefault="00D56391" w:rsidP="00983EC6">
      <w:pPr>
        <w:spacing w:line="360" w:lineRule="auto"/>
        <w:jc w:val="both"/>
        <w:rPr>
          <w:rFonts w:ascii="Times New Roman" w:hAnsi="Times New Roman" w:cs="Times New Roman"/>
          <w:b/>
          <w:bCs/>
          <w:sz w:val="24"/>
          <w:szCs w:val="24"/>
          <w:lang w:val="en-US"/>
        </w:rPr>
      </w:pPr>
      <w:r w:rsidRPr="00983EC6">
        <w:rPr>
          <w:rFonts w:ascii="Times New Roman" w:hAnsi="Times New Roman" w:cs="Times New Roman"/>
          <w:b/>
          <w:bCs/>
          <w:sz w:val="24"/>
          <w:szCs w:val="24"/>
          <w:lang w:val="en-US"/>
        </w:rPr>
        <w:t>Frustration of Contract</w:t>
      </w:r>
    </w:p>
    <w:p w14:paraId="1441C736" w14:textId="0657B3A9" w:rsidR="00D56391" w:rsidRPr="00983EC6" w:rsidRDefault="00D56391" w:rsidP="00983EC6">
      <w:pPr>
        <w:spacing w:line="360" w:lineRule="auto"/>
        <w:jc w:val="both"/>
        <w:rPr>
          <w:rFonts w:ascii="Times New Roman" w:hAnsi="Times New Roman" w:cs="Times New Roman"/>
          <w:sz w:val="24"/>
          <w:szCs w:val="24"/>
          <w:lang w:val="en-US"/>
        </w:rPr>
      </w:pPr>
      <w:r w:rsidRPr="00983EC6">
        <w:rPr>
          <w:rFonts w:ascii="Times New Roman" w:hAnsi="Times New Roman" w:cs="Times New Roman"/>
          <w:sz w:val="24"/>
          <w:szCs w:val="24"/>
          <w:lang w:val="en-US"/>
        </w:rPr>
        <w:t>Frustration of a contract in India is defined under Section 56 of the Act, which states that a contract is void if its fulfilment is impossible or unlawful after it is made. A contract that is frustrated, unlike a force majeure clause, is automatically dissolved.</w:t>
      </w:r>
    </w:p>
    <w:p w14:paraId="409DC2B7" w14:textId="67DC16B9" w:rsidR="00D56391" w:rsidRPr="00983EC6" w:rsidRDefault="00D56391" w:rsidP="00983EC6">
      <w:pPr>
        <w:spacing w:line="360" w:lineRule="auto"/>
        <w:jc w:val="both"/>
        <w:rPr>
          <w:rFonts w:ascii="Times New Roman" w:hAnsi="Times New Roman" w:cs="Times New Roman"/>
          <w:sz w:val="24"/>
          <w:szCs w:val="24"/>
          <w:lang w:val="en-US"/>
        </w:rPr>
      </w:pPr>
      <w:r w:rsidRPr="00983EC6">
        <w:rPr>
          <w:rFonts w:ascii="Times New Roman" w:hAnsi="Times New Roman" w:cs="Times New Roman"/>
          <w:sz w:val="24"/>
          <w:szCs w:val="24"/>
          <w:lang w:val="en-US"/>
        </w:rPr>
        <w:t>The party claiming frustration must show that COVID-19 made the contract impossible to perform. The legal considerations that apply to the impossibility of performance under force majeure clauses also apply to contract frustration. More importantly, the incident that caused the impossibility should not have occurred prior to the contract or in the minds of the parties during the contracting process.</w:t>
      </w:r>
    </w:p>
    <w:p w14:paraId="16B57BCD" w14:textId="77777777" w:rsidR="003813C7" w:rsidRDefault="00501802" w:rsidP="00983EC6">
      <w:pPr>
        <w:spacing w:line="360" w:lineRule="auto"/>
        <w:jc w:val="both"/>
        <w:rPr>
          <w:rFonts w:ascii="Times New Roman" w:hAnsi="Times New Roman" w:cs="Times New Roman"/>
          <w:sz w:val="24"/>
          <w:szCs w:val="24"/>
          <w:lang w:val="en-US"/>
        </w:rPr>
      </w:pPr>
      <w:r w:rsidRPr="00983EC6">
        <w:rPr>
          <w:rFonts w:ascii="Times New Roman" w:hAnsi="Times New Roman" w:cs="Times New Roman"/>
          <w:sz w:val="24"/>
          <w:szCs w:val="24"/>
          <w:lang w:val="en-US"/>
        </w:rPr>
        <w:t xml:space="preserve">Because frustration leads to contract termination, the unforeseen occurrence must last for a significant portion of the contract duration. If the unforeseen event just prevents the contract from being fulfilled for a short time, it will not be considered frustrated. </w:t>
      </w:r>
    </w:p>
    <w:p w14:paraId="01609E2A" w14:textId="0F1AEAFC" w:rsidR="00501802" w:rsidRPr="00983EC6" w:rsidRDefault="00501802" w:rsidP="00983EC6">
      <w:pPr>
        <w:spacing w:line="360" w:lineRule="auto"/>
        <w:jc w:val="both"/>
        <w:rPr>
          <w:rFonts w:ascii="Times New Roman" w:hAnsi="Times New Roman" w:cs="Times New Roman"/>
          <w:sz w:val="24"/>
          <w:szCs w:val="24"/>
          <w:lang w:val="en-US"/>
        </w:rPr>
      </w:pPr>
      <w:r w:rsidRPr="00983EC6">
        <w:rPr>
          <w:rFonts w:ascii="Times New Roman" w:hAnsi="Times New Roman" w:cs="Times New Roman"/>
          <w:sz w:val="24"/>
          <w:szCs w:val="24"/>
          <w:lang w:val="en-US"/>
        </w:rPr>
        <w:t xml:space="preserve">A contract cannot be sabotaged simply because of a delay induced by any circumstance. The delay must be sufficient that it throws the contract's entire commercial foundation into disarray. Because the COVID-19 lock-downs are only temporary, parties wishing to claim that their contracts have been frustrated must show that their commitments are time-sensitive. </w:t>
      </w:r>
    </w:p>
    <w:p w14:paraId="3AC2A696" w14:textId="77777777" w:rsidR="000B4CD9" w:rsidRDefault="000B4CD9" w:rsidP="00983EC6">
      <w:pPr>
        <w:spacing w:line="360" w:lineRule="auto"/>
        <w:jc w:val="both"/>
        <w:rPr>
          <w:rFonts w:ascii="Times New Roman" w:hAnsi="Times New Roman" w:cs="Times New Roman"/>
          <w:b/>
          <w:bCs/>
          <w:sz w:val="24"/>
          <w:szCs w:val="24"/>
          <w:lang w:val="en-US"/>
        </w:rPr>
      </w:pPr>
    </w:p>
    <w:p w14:paraId="780DC3BF" w14:textId="407DF23B" w:rsidR="00983EC6" w:rsidRDefault="00501802" w:rsidP="00983EC6">
      <w:pPr>
        <w:spacing w:line="360" w:lineRule="auto"/>
        <w:jc w:val="both"/>
        <w:rPr>
          <w:rFonts w:ascii="Times New Roman" w:hAnsi="Times New Roman" w:cs="Times New Roman"/>
          <w:b/>
          <w:bCs/>
          <w:sz w:val="24"/>
          <w:szCs w:val="24"/>
          <w:lang w:val="en-US"/>
        </w:rPr>
      </w:pPr>
      <w:r w:rsidRPr="00983EC6">
        <w:rPr>
          <w:rFonts w:ascii="Times New Roman" w:hAnsi="Times New Roman" w:cs="Times New Roman"/>
          <w:b/>
          <w:bCs/>
          <w:sz w:val="24"/>
          <w:szCs w:val="24"/>
          <w:lang w:val="en-US"/>
        </w:rPr>
        <w:lastRenderedPageBreak/>
        <w:t>Notice Requirement</w:t>
      </w:r>
    </w:p>
    <w:p w14:paraId="2B09E3BC" w14:textId="77FB2029" w:rsidR="00501802" w:rsidRPr="00983EC6" w:rsidRDefault="00501802" w:rsidP="00983EC6">
      <w:pPr>
        <w:spacing w:line="360" w:lineRule="auto"/>
        <w:jc w:val="both"/>
        <w:rPr>
          <w:rFonts w:ascii="Times New Roman" w:hAnsi="Times New Roman" w:cs="Times New Roman"/>
          <w:b/>
          <w:bCs/>
          <w:sz w:val="24"/>
          <w:szCs w:val="24"/>
          <w:lang w:val="en-US"/>
        </w:rPr>
      </w:pPr>
      <w:r w:rsidRPr="00983EC6">
        <w:rPr>
          <w:rFonts w:ascii="Times New Roman" w:hAnsi="Times New Roman" w:cs="Times New Roman"/>
          <w:sz w:val="24"/>
          <w:szCs w:val="24"/>
          <w:lang w:val="en-US"/>
        </w:rPr>
        <w:t>The party claiming the benefit of the exemption must give sufficient and prompt notice to the other party regarding the circumstances causing the impossibility or difficulties in performing the contract. A failure to give notice has been held to deny the party's claim to invoke the force majeure clause.</w:t>
      </w:r>
      <w:r w:rsidRPr="00983EC6">
        <w:rPr>
          <w:rStyle w:val="FootnoteReference"/>
          <w:rFonts w:ascii="Times New Roman" w:hAnsi="Times New Roman" w:cs="Times New Roman"/>
          <w:sz w:val="24"/>
          <w:szCs w:val="24"/>
          <w:lang w:val="en-US"/>
        </w:rPr>
        <w:footnoteReference w:id="3"/>
      </w:r>
    </w:p>
    <w:p w14:paraId="26B98EBA" w14:textId="61256F06" w:rsidR="00501802" w:rsidRPr="00983EC6" w:rsidRDefault="00501802" w:rsidP="00983EC6">
      <w:pPr>
        <w:spacing w:line="360" w:lineRule="auto"/>
        <w:jc w:val="both"/>
        <w:rPr>
          <w:rFonts w:ascii="Times New Roman" w:hAnsi="Times New Roman" w:cs="Times New Roman"/>
          <w:b/>
          <w:bCs/>
          <w:sz w:val="24"/>
          <w:szCs w:val="24"/>
          <w:lang w:val="en-US"/>
        </w:rPr>
      </w:pPr>
      <w:r w:rsidRPr="00983EC6">
        <w:rPr>
          <w:rFonts w:ascii="Times New Roman" w:hAnsi="Times New Roman" w:cs="Times New Roman"/>
          <w:b/>
          <w:bCs/>
          <w:sz w:val="24"/>
          <w:szCs w:val="24"/>
          <w:lang w:val="en-US"/>
        </w:rPr>
        <w:t>Suspension/ Termination</w:t>
      </w:r>
    </w:p>
    <w:p w14:paraId="74211CE8" w14:textId="4D4128FC" w:rsidR="00501802" w:rsidRPr="00983EC6" w:rsidRDefault="00501802" w:rsidP="00983EC6">
      <w:pPr>
        <w:spacing w:line="360" w:lineRule="auto"/>
        <w:jc w:val="both"/>
        <w:rPr>
          <w:rFonts w:ascii="Times New Roman" w:hAnsi="Times New Roman" w:cs="Times New Roman"/>
          <w:sz w:val="24"/>
          <w:szCs w:val="24"/>
          <w:lang w:val="en-US"/>
        </w:rPr>
      </w:pPr>
      <w:r w:rsidRPr="00983EC6">
        <w:rPr>
          <w:rFonts w:ascii="Times New Roman" w:hAnsi="Times New Roman" w:cs="Times New Roman"/>
          <w:sz w:val="24"/>
          <w:szCs w:val="24"/>
          <w:lang w:val="en-US"/>
        </w:rPr>
        <w:t>The force majeure clause's language will determine whether the contract is suspended or terminated. Most force majeure clauses demand for the contract to be suspended for the length of the force majeure occurrence.</w:t>
      </w:r>
    </w:p>
    <w:p w14:paraId="3D4109DD" w14:textId="0EDE2F2F" w:rsidR="00522858" w:rsidRPr="00983EC6" w:rsidRDefault="00522858" w:rsidP="00983EC6">
      <w:pPr>
        <w:spacing w:line="360" w:lineRule="auto"/>
        <w:jc w:val="both"/>
        <w:rPr>
          <w:rFonts w:ascii="Times New Roman" w:hAnsi="Times New Roman" w:cs="Times New Roman"/>
          <w:b/>
          <w:bCs/>
          <w:sz w:val="24"/>
          <w:szCs w:val="24"/>
          <w:lang w:val="en-US"/>
        </w:rPr>
      </w:pPr>
      <w:r w:rsidRPr="00983EC6">
        <w:rPr>
          <w:rFonts w:ascii="Times New Roman" w:hAnsi="Times New Roman" w:cs="Times New Roman"/>
          <w:b/>
          <w:bCs/>
          <w:sz w:val="24"/>
          <w:szCs w:val="24"/>
          <w:lang w:val="en-US"/>
        </w:rPr>
        <w:t xml:space="preserve">Contractual </w:t>
      </w:r>
      <w:r w:rsidR="00983EC6">
        <w:rPr>
          <w:rFonts w:ascii="Times New Roman" w:hAnsi="Times New Roman" w:cs="Times New Roman"/>
          <w:b/>
          <w:bCs/>
          <w:sz w:val="24"/>
          <w:szCs w:val="24"/>
          <w:lang w:val="en-US"/>
        </w:rPr>
        <w:t>D</w:t>
      </w:r>
      <w:r w:rsidRPr="00983EC6">
        <w:rPr>
          <w:rFonts w:ascii="Times New Roman" w:hAnsi="Times New Roman" w:cs="Times New Roman"/>
          <w:b/>
          <w:bCs/>
          <w:sz w:val="24"/>
          <w:szCs w:val="24"/>
          <w:lang w:val="en-US"/>
        </w:rPr>
        <w:t xml:space="preserve">ispute </w:t>
      </w:r>
      <w:r w:rsidR="00983EC6">
        <w:rPr>
          <w:rFonts w:ascii="Times New Roman" w:hAnsi="Times New Roman" w:cs="Times New Roman"/>
          <w:b/>
          <w:bCs/>
          <w:sz w:val="24"/>
          <w:szCs w:val="24"/>
          <w:lang w:val="en-US"/>
        </w:rPr>
        <w:t>L</w:t>
      </w:r>
      <w:r w:rsidRPr="00983EC6">
        <w:rPr>
          <w:rFonts w:ascii="Times New Roman" w:hAnsi="Times New Roman" w:cs="Times New Roman"/>
          <w:b/>
          <w:bCs/>
          <w:sz w:val="24"/>
          <w:szCs w:val="24"/>
          <w:lang w:val="en-US"/>
        </w:rPr>
        <w:t>itigation: A sectoral analysis</w:t>
      </w:r>
    </w:p>
    <w:p w14:paraId="03243C74" w14:textId="77777777" w:rsidR="00522858" w:rsidRPr="00983EC6" w:rsidRDefault="00522858" w:rsidP="00983EC6">
      <w:pPr>
        <w:spacing w:line="360" w:lineRule="auto"/>
        <w:jc w:val="both"/>
        <w:rPr>
          <w:rFonts w:ascii="Times New Roman" w:hAnsi="Times New Roman" w:cs="Times New Roman"/>
          <w:b/>
          <w:bCs/>
          <w:sz w:val="24"/>
          <w:szCs w:val="24"/>
          <w:lang w:val="en-US"/>
        </w:rPr>
      </w:pPr>
      <w:r w:rsidRPr="00983EC6">
        <w:rPr>
          <w:rFonts w:ascii="Times New Roman" w:hAnsi="Times New Roman" w:cs="Times New Roman"/>
          <w:b/>
          <w:bCs/>
          <w:sz w:val="24"/>
          <w:szCs w:val="24"/>
          <w:lang w:val="en-US"/>
        </w:rPr>
        <w:t>Contracts for Construction</w:t>
      </w:r>
    </w:p>
    <w:p w14:paraId="000A8AB1" w14:textId="77777777" w:rsidR="003813C7" w:rsidRDefault="00522858" w:rsidP="00983EC6">
      <w:pPr>
        <w:spacing w:line="360" w:lineRule="auto"/>
        <w:jc w:val="both"/>
        <w:rPr>
          <w:rFonts w:ascii="Times New Roman" w:hAnsi="Times New Roman" w:cs="Times New Roman"/>
          <w:sz w:val="24"/>
          <w:szCs w:val="24"/>
          <w:lang w:val="en-US"/>
        </w:rPr>
      </w:pPr>
      <w:r w:rsidRPr="00983EC6">
        <w:rPr>
          <w:rFonts w:ascii="Times New Roman" w:hAnsi="Times New Roman" w:cs="Times New Roman"/>
          <w:sz w:val="24"/>
          <w:szCs w:val="24"/>
          <w:lang w:val="en-US"/>
        </w:rPr>
        <w:t xml:space="preserve">The Real Estate (Regulation and Development) Act (RERA) of 2016 governs contracts between home buyers and developers. Non-performance or late delivery of the apartment/building/plot is punishable under the RERA Act. Construction on real-estate developments came to a halt as a result of the lockdowns. </w:t>
      </w:r>
    </w:p>
    <w:p w14:paraId="57CE2D7A" w14:textId="4B5B1391" w:rsidR="00522858" w:rsidRPr="00983EC6" w:rsidRDefault="00522858" w:rsidP="00983EC6">
      <w:pPr>
        <w:spacing w:line="360" w:lineRule="auto"/>
        <w:jc w:val="both"/>
        <w:rPr>
          <w:rFonts w:ascii="Times New Roman" w:hAnsi="Times New Roman" w:cs="Times New Roman"/>
          <w:sz w:val="24"/>
          <w:szCs w:val="24"/>
          <w:lang w:val="en-US"/>
        </w:rPr>
      </w:pPr>
      <w:r w:rsidRPr="00983EC6">
        <w:rPr>
          <w:rFonts w:ascii="Times New Roman" w:hAnsi="Times New Roman" w:cs="Times New Roman"/>
          <w:sz w:val="24"/>
          <w:szCs w:val="24"/>
          <w:lang w:val="en-US"/>
        </w:rPr>
        <w:t>So, promoters have cited Covid for invoking FM u/S 6 of the Act and have filed an application for extension of registration to avoid liability for delay in giving possession (Section 18).</w:t>
      </w:r>
      <w:r w:rsidRPr="00983EC6">
        <w:rPr>
          <w:rStyle w:val="FootnoteReference"/>
          <w:rFonts w:ascii="Times New Roman" w:hAnsi="Times New Roman" w:cs="Times New Roman"/>
          <w:sz w:val="24"/>
          <w:szCs w:val="24"/>
          <w:lang w:val="en-US"/>
        </w:rPr>
        <w:footnoteReference w:id="4"/>
      </w:r>
      <w:r w:rsidR="00105761" w:rsidRPr="00983EC6">
        <w:rPr>
          <w:rFonts w:ascii="Times New Roman" w:hAnsi="Times New Roman" w:cs="Times New Roman"/>
          <w:sz w:val="24"/>
          <w:szCs w:val="24"/>
          <w:lang w:val="en-US"/>
        </w:rPr>
        <w:t xml:space="preserve"> </w:t>
      </w:r>
      <w:r w:rsidRPr="00983EC6">
        <w:rPr>
          <w:rFonts w:ascii="Times New Roman" w:hAnsi="Times New Roman" w:cs="Times New Roman"/>
          <w:sz w:val="24"/>
          <w:szCs w:val="24"/>
          <w:lang w:val="en-US"/>
        </w:rPr>
        <w:t xml:space="preserve">Real-estate companies' FM claim has merit because it delayed construction work for real-estate projects. As a result, the developers' request for a relief of extension and waiver of liability payments is justified. </w:t>
      </w:r>
    </w:p>
    <w:p w14:paraId="116D4E71" w14:textId="77777777" w:rsidR="003813C7" w:rsidRDefault="00105761" w:rsidP="00983EC6">
      <w:pPr>
        <w:spacing w:line="360" w:lineRule="auto"/>
        <w:jc w:val="both"/>
        <w:rPr>
          <w:rFonts w:ascii="Times New Roman" w:hAnsi="Times New Roman" w:cs="Times New Roman"/>
          <w:sz w:val="24"/>
          <w:szCs w:val="24"/>
          <w:lang w:val="en-US"/>
        </w:rPr>
      </w:pPr>
      <w:r w:rsidRPr="00983EC6">
        <w:rPr>
          <w:rFonts w:ascii="Times New Roman" w:hAnsi="Times New Roman" w:cs="Times New Roman"/>
          <w:sz w:val="24"/>
          <w:szCs w:val="24"/>
          <w:lang w:val="en-US"/>
        </w:rPr>
        <w:t xml:space="preserve">Furthermore, even if the lockdowns are lifted or relaxed, the supply chain for construction materials, as well as the labor scarcity, remains disrupted. As a result, initiatives are taking longer to complete. Although the Ministry of Home Affairs (MHA) permitted building work, it was contingent on the availability of on-site workers, with no workers from outside being brought in. </w:t>
      </w:r>
    </w:p>
    <w:p w14:paraId="3C181CC7" w14:textId="2F775E66" w:rsidR="00105761" w:rsidRPr="00983EC6" w:rsidRDefault="00105761" w:rsidP="00983EC6">
      <w:pPr>
        <w:spacing w:line="360" w:lineRule="auto"/>
        <w:jc w:val="both"/>
        <w:rPr>
          <w:rFonts w:ascii="Times New Roman" w:hAnsi="Times New Roman" w:cs="Times New Roman"/>
          <w:sz w:val="24"/>
          <w:szCs w:val="24"/>
          <w:lang w:val="en-US"/>
        </w:rPr>
      </w:pPr>
      <w:r w:rsidRPr="00983EC6">
        <w:rPr>
          <w:rFonts w:ascii="Times New Roman" w:hAnsi="Times New Roman" w:cs="Times New Roman"/>
          <w:sz w:val="24"/>
          <w:szCs w:val="24"/>
          <w:lang w:val="en-US"/>
        </w:rPr>
        <w:t xml:space="preserve">As a result, this hampered the timely completion of work and qualifies as an FM event. As a result, the Finance-Minister was spot-on in granting a six-month extension to all real-estate </w:t>
      </w:r>
      <w:r w:rsidRPr="00983EC6">
        <w:rPr>
          <w:rFonts w:ascii="Times New Roman" w:hAnsi="Times New Roman" w:cs="Times New Roman"/>
          <w:sz w:val="24"/>
          <w:szCs w:val="24"/>
          <w:lang w:val="en-US"/>
        </w:rPr>
        <w:lastRenderedPageBreak/>
        <w:t>projects registered with the Real Estate Regulatory Authority due to the government's lockdowns.</w:t>
      </w:r>
    </w:p>
    <w:p w14:paraId="26B7BB52" w14:textId="0E6000A4" w:rsidR="00105761" w:rsidRPr="00983EC6" w:rsidRDefault="00105761" w:rsidP="00983EC6">
      <w:pPr>
        <w:spacing w:line="360" w:lineRule="auto"/>
        <w:jc w:val="both"/>
        <w:rPr>
          <w:rFonts w:ascii="Times New Roman" w:hAnsi="Times New Roman" w:cs="Times New Roman"/>
          <w:sz w:val="24"/>
          <w:szCs w:val="24"/>
          <w:lang w:val="en-US"/>
        </w:rPr>
      </w:pPr>
      <w:r w:rsidRPr="00983EC6">
        <w:rPr>
          <w:rFonts w:ascii="Times New Roman" w:hAnsi="Times New Roman" w:cs="Times New Roman"/>
          <w:sz w:val="24"/>
          <w:szCs w:val="24"/>
          <w:lang w:val="en-US"/>
        </w:rPr>
        <w:t>Lockdown defenses, on the other hand, should not be used to explain pre-Covid delays. The Delhi High Court rejected redress to the contractor who had infringed contract requirements even before the lockdowns in Halliburton Offshore Services Inc. v Vedanta Ltd. (2020).</w:t>
      </w:r>
    </w:p>
    <w:p w14:paraId="1405537F" w14:textId="55714BC7" w:rsidR="00105761" w:rsidRPr="00983EC6" w:rsidRDefault="00105761" w:rsidP="00983EC6">
      <w:pPr>
        <w:spacing w:line="360" w:lineRule="auto"/>
        <w:jc w:val="both"/>
        <w:rPr>
          <w:rFonts w:ascii="Times New Roman" w:hAnsi="Times New Roman" w:cs="Times New Roman"/>
          <w:b/>
          <w:bCs/>
          <w:sz w:val="24"/>
          <w:szCs w:val="24"/>
          <w:lang w:val="en-US"/>
        </w:rPr>
      </w:pPr>
      <w:r w:rsidRPr="00983EC6">
        <w:rPr>
          <w:rFonts w:ascii="Times New Roman" w:hAnsi="Times New Roman" w:cs="Times New Roman"/>
          <w:b/>
          <w:bCs/>
          <w:sz w:val="24"/>
          <w:szCs w:val="24"/>
          <w:lang w:val="en-US"/>
        </w:rPr>
        <w:t xml:space="preserve">Air- Transportation Contract </w:t>
      </w:r>
    </w:p>
    <w:p w14:paraId="71B49E0B" w14:textId="77777777" w:rsidR="003813C7" w:rsidRDefault="00105761" w:rsidP="00983EC6">
      <w:pPr>
        <w:spacing w:line="360" w:lineRule="auto"/>
        <w:jc w:val="both"/>
        <w:rPr>
          <w:rFonts w:ascii="Times New Roman" w:hAnsi="Times New Roman" w:cs="Times New Roman"/>
          <w:sz w:val="24"/>
          <w:szCs w:val="24"/>
          <w:lang w:val="en-US"/>
        </w:rPr>
      </w:pPr>
      <w:r w:rsidRPr="00983EC6">
        <w:rPr>
          <w:rFonts w:ascii="Times New Roman" w:hAnsi="Times New Roman" w:cs="Times New Roman"/>
          <w:sz w:val="24"/>
          <w:szCs w:val="24"/>
          <w:lang w:val="en-US"/>
        </w:rPr>
        <w:t xml:space="preserve">A contract between the airline and the passenger is a booked air-ticket. Domestic and international flight travel were both prohibited due to government-imposed restrictions. Airlines have cancelled tickets for travel within the prohibition period, according to FM. </w:t>
      </w:r>
    </w:p>
    <w:p w14:paraId="63983EA9" w14:textId="77777777" w:rsidR="00E173CD" w:rsidRDefault="00105761" w:rsidP="00983EC6">
      <w:pPr>
        <w:spacing w:line="360" w:lineRule="auto"/>
        <w:jc w:val="both"/>
        <w:rPr>
          <w:rFonts w:ascii="Times New Roman" w:hAnsi="Times New Roman" w:cs="Times New Roman"/>
          <w:sz w:val="24"/>
          <w:szCs w:val="24"/>
          <w:lang w:val="en-US"/>
        </w:rPr>
      </w:pPr>
      <w:r w:rsidRPr="00983EC6">
        <w:rPr>
          <w:rFonts w:ascii="Times New Roman" w:hAnsi="Times New Roman" w:cs="Times New Roman"/>
          <w:sz w:val="24"/>
          <w:szCs w:val="24"/>
          <w:lang w:val="en-US"/>
        </w:rPr>
        <w:t xml:space="preserve">Instead of refunding ticket amounts, airlines have sought to convert them into credit shells that can only be used to purchase future tickets from the same carrier, despite the fact that Civil Aviation Requirements expressly state that ticket amounts must be refunded to passengers. </w:t>
      </w:r>
    </w:p>
    <w:p w14:paraId="7674F46C" w14:textId="71ABB6FF" w:rsidR="00105761" w:rsidRPr="00983EC6" w:rsidRDefault="00105761" w:rsidP="00983EC6">
      <w:pPr>
        <w:spacing w:line="360" w:lineRule="auto"/>
        <w:jc w:val="both"/>
        <w:rPr>
          <w:rFonts w:ascii="Times New Roman" w:hAnsi="Times New Roman" w:cs="Times New Roman"/>
          <w:sz w:val="24"/>
          <w:szCs w:val="24"/>
          <w:lang w:val="en-US"/>
        </w:rPr>
      </w:pPr>
      <w:r w:rsidRPr="00983EC6">
        <w:rPr>
          <w:rFonts w:ascii="Times New Roman" w:hAnsi="Times New Roman" w:cs="Times New Roman"/>
          <w:sz w:val="24"/>
          <w:szCs w:val="24"/>
          <w:lang w:val="en-US"/>
        </w:rPr>
        <w:t>They</w:t>
      </w:r>
      <w:r w:rsidR="003813C7">
        <w:rPr>
          <w:rFonts w:ascii="Times New Roman" w:hAnsi="Times New Roman" w:cs="Times New Roman"/>
          <w:sz w:val="24"/>
          <w:szCs w:val="24"/>
          <w:lang w:val="en-US"/>
        </w:rPr>
        <w:t xml:space="preserve"> have</w:t>
      </w:r>
      <w:r w:rsidRPr="00983EC6">
        <w:rPr>
          <w:rFonts w:ascii="Times New Roman" w:hAnsi="Times New Roman" w:cs="Times New Roman"/>
          <w:sz w:val="24"/>
          <w:szCs w:val="24"/>
          <w:lang w:val="en-US"/>
        </w:rPr>
        <w:t xml:space="preserve"> justified their actions by citing a lack of revenue and lower global profits. Customers, on the other hand, have filed claims for full refunds for cancelled tickets, whether purchased in advance or during the lockdown. </w:t>
      </w:r>
      <w:r w:rsidRPr="00983EC6">
        <w:rPr>
          <w:rFonts w:ascii="Times New Roman" w:hAnsi="Times New Roman" w:cs="Times New Roman"/>
          <w:sz w:val="24"/>
          <w:szCs w:val="24"/>
        </w:rPr>
        <w:t>They have argued that offering credit shells instead of refunds are unjustly enriching the</w:t>
      </w:r>
      <w:r w:rsidRPr="00983EC6">
        <w:rPr>
          <w:rFonts w:ascii="Times New Roman" w:hAnsi="Times New Roman" w:cs="Times New Roman"/>
          <w:spacing w:val="-3"/>
          <w:sz w:val="24"/>
          <w:szCs w:val="24"/>
        </w:rPr>
        <w:t xml:space="preserve"> </w:t>
      </w:r>
      <w:r w:rsidRPr="00983EC6">
        <w:rPr>
          <w:rFonts w:ascii="Times New Roman" w:hAnsi="Times New Roman" w:cs="Times New Roman"/>
          <w:sz w:val="24"/>
          <w:szCs w:val="24"/>
        </w:rPr>
        <w:t xml:space="preserve">airlines. </w:t>
      </w:r>
    </w:p>
    <w:p w14:paraId="005815D2" w14:textId="77777777" w:rsidR="00E173CD" w:rsidRDefault="00105761" w:rsidP="00983EC6">
      <w:pPr>
        <w:spacing w:line="360" w:lineRule="auto"/>
        <w:jc w:val="both"/>
        <w:rPr>
          <w:rFonts w:ascii="Times New Roman" w:hAnsi="Times New Roman" w:cs="Times New Roman"/>
          <w:sz w:val="24"/>
          <w:szCs w:val="24"/>
          <w:lang w:val="en-US"/>
        </w:rPr>
      </w:pPr>
      <w:r w:rsidRPr="00983EC6">
        <w:rPr>
          <w:rFonts w:ascii="Times New Roman" w:hAnsi="Times New Roman" w:cs="Times New Roman"/>
          <w:sz w:val="24"/>
          <w:szCs w:val="24"/>
          <w:lang w:val="en-US"/>
        </w:rPr>
        <w:t xml:space="preserve">Airlines were unable to fly customers due to the lockdowns. As a result, the airlines have every right to cancel the reservation. Restitution of the advance payment, on the other hand, occurs in tandem with contract termination, i.e., cancellation of the booked tickets. </w:t>
      </w:r>
    </w:p>
    <w:p w14:paraId="0D998433" w14:textId="0F31B0CB" w:rsidR="00105761" w:rsidRPr="00983EC6" w:rsidRDefault="00105761" w:rsidP="00983EC6">
      <w:pPr>
        <w:spacing w:line="360" w:lineRule="auto"/>
        <w:jc w:val="both"/>
        <w:rPr>
          <w:rFonts w:ascii="Times New Roman" w:hAnsi="Times New Roman" w:cs="Times New Roman"/>
          <w:sz w:val="24"/>
          <w:szCs w:val="24"/>
          <w:lang w:val="en-US"/>
        </w:rPr>
      </w:pPr>
      <w:r w:rsidRPr="00983EC6">
        <w:rPr>
          <w:rFonts w:ascii="Times New Roman" w:hAnsi="Times New Roman" w:cs="Times New Roman"/>
          <w:sz w:val="24"/>
          <w:szCs w:val="24"/>
          <w:lang w:val="en-US"/>
        </w:rPr>
        <w:t xml:space="preserve">Restitution precludes one of the parties to a void contract from keeping the benefits acquired. This principle has been broken by airlines. Furthermore, they have broken Civil Aviation Requirements, which provide that "the consumer has the option of keeping the return as a credit shell." In addition, efficiency shows that airlines are the lowest-cost-risk-bearers. </w:t>
      </w:r>
    </w:p>
    <w:p w14:paraId="7EF0FC01" w14:textId="77777777" w:rsidR="00E173CD" w:rsidRDefault="00105761" w:rsidP="00983EC6">
      <w:pPr>
        <w:spacing w:line="360" w:lineRule="auto"/>
        <w:jc w:val="both"/>
        <w:rPr>
          <w:rFonts w:ascii="Times New Roman" w:hAnsi="Times New Roman" w:cs="Times New Roman"/>
          <w:sz w:val="24"/>
          <w:szCs w:val="24"/>
          <w:lang w:val="en-US"/>
        </w:rPr>
      </w:pPr>
      <w:r w:rsidRPr="00983EC6">
        <w:rPr>
          <w:rFonts w:ascii="Times New Roman" w:hAnsi="Times New Roman" w:cs="Times New Roman"/>
          <w:sz w:val="24"/>
          <w:szCs w:val="24"/>
          <w:lang w:val="en-US"/>
        </w:rPr>
        <w:t xml:space="preserve">The Ministry of Civil Aviation (MoCA) has instructed airlines to refund any tickets purchased during the initial lockdown period in full. Customers who purchased tickets before the lockdown was announced on March 24, 2020, were not spared. </w:t>
      </w:r>
    </w:p>
    <w:p w14:paraId="68AB7C6E" w14:textId="4E49C3FF" w:rsidR="00105761" w:rsidRPr="00983EC6" w:rsidRDefault="00105761" w:rsidP="00983EC6">
      <w:pPr>
        <w:spacing w:line="360" w:lineRule="auto"/>
        <w:jc w:val="both"/>
        <w:rPr>
          <w:rFonts w:ascii="Times New Roman" w:hAnsi="Times New Roman" w:cs="Times New Roman"/>
          <w:sz w:val="24"/>
          <w:szCs w:val="24"/>
          <w:lang w:val="en-US"/>
        </w:rPr>
      </w:pPr>
      <w:r w:rsidRPr="00983EC6">
        <w:rPr>
          <w:rFonts w:ascii="Times New Roman" w:hAnsi="Times New Roman" w:cs="Times New Roman"/>
          <w:sz w:val="24"/>
          <w:szCs w:val="24"/>
          <w:lang w:val="en-US"/>
        </w:rPr>
        <w:t xml:space="preserve">As a result, </w:t>
      </w:r>
      <w:proofErr w:type="spellStart"/>
      <w:r w:rsidRPr="00983EC6">
        <w:rPr>
          <w:rFonts w:ascii="Times New Roman" w:hAnsi="Times New Roman" w:cs="Times New Roman"/>
          <w:sz w:val="24"/>
          <w:szCs w:val="24"/>
          <w:lang w:val="en-US"/>
        </w:rPr>
        <w:t>Pravasi</w:t>
      </w:r>
      <w:proofErr w:type="spellEnd"/>
      <w:r w:rsidRPr="00983EC6">
        <w:rPr>
          <w:rFonts w:ascii="Times New Roman" w:hAnsi="Times New Roman" w:cs="Times New Roman"/>
          <w:sz w:val="24"/>
          <w:szCs w:val="24"/>
          <w:lang w:val="en-US"/>
        </w:rPr>
        <w:t xml:space="preserve"> Legal Cell filed a petition (see </w:t>
      </w:r>
      <w:proofErr w:type="spellStart"/>
      <w:r w:rsidRPr="00983EC6">
        <w:rPr>
          <w:rFonts w:ascii="Times New Roman" w:hAnsi="Times New Roman" w:cs="Times New Roman"/>
          <w:sz w:val="24"/>
          <w:szCs w:val="24"/>
          <w:lang w:val="en-US"/>
        </w:rPr>
        <w:t>Pravasi</w:t>
      </w:r>
      <w:proofErr w:type="spellEnd"/>
      <w:r w:rsidRPr="00983EC6">
        <w:rPr>
          <w:rFonts w:ascii="Times New Roman" w:hAnsi="Times New Roman" w:cs="Times New Roman"/>
          <w:sz w:val="24"/>
          <w:szCs w:val="24"/>
          <w:lang w:val="en-US"/>
        </w:rPr>
        <w:t xml:space="preserve"> Legal Cell v Union of India (2020)) seeking compensation for refunds of air tickets purchased before to the lockdown. While dealing with the situation, the SC has directed the airlines to make every effort to reimburse tickets purchased by passengers prior to the closure within a 15-day timeframe. If the airlines </w:t>
      </w:r>
      <w:r w:rsidRPr="00983EC6">
        <w:rPr>
          <w:rFonts w:ascii="Times New Roman" w:hAnsi="Times New Roman" w:cs="Times New Roman"/>
          <w:sz w:val="24"/>
          <w:szCs w:val="24"/>
          <w:lang w:val="en-US"/>
        </w:rPr>
        <w:lastRenderedPageBreak/>
        <w:t>are unable to do so, they must build a credit shell that will be valid for a period of time until 31</w:t>
      </w:r>
      <w:r w:rsidRPr="00983EC6">
        <w:rPr>
          <w:rFonts w:ascii="Times New Roman" w:hAnsi="Times New Roman" w:cs="Times New Roman"/>
          <w:sz w:val="24"/>
          <w:szCs w:val="24"/>
          <w:vertAlign w:val="superscript"/>
          <w:lang w:val="en-US"/>
        </w:rPr>
        <w:t>st</w:t>
      </w:r>
      <w:r w:rsidRPr="00983EC6">
        <w:rPr>
          <w:rFonts w:ascii="Times New Roman" w:hAnsi="Times New Roman" w:cs="Times New Roman"/>
          <w:sz w:val="24"/>
          <w:szCs w:val="24"/>
          <w:lang w:val="en-US"/>
        </w:rPr>
        <w:t xml:space="preserve"> March, 2021.</w:t>
      </w:r>
    </w:p>
    <w:p w14:paraId="784BEB4D" w14:textId="78443A54" w:rsidR="00105761" w:rsidRPr="00983EC6" w:rsidRDefault="00A274F6" w:rsidP="00983EC6">
      <w:pPr>
        <w:spacing w:line="360" w:lineRule="auto"/>
        <w:jc w:val="both"/>
        <w:rPr>
          <w:rFonts w:ascii="Times New Roman" w:hAnsi="Times New Roman" w:cs="Times New Roman"/>
          <w:b/>
          <w:bCs/>
          <w:sz w:val="24"/>
          <w:szCs w:val="24"/>
          <w:lang w:val="en-US"/>
        </w:rPr>
      </w:pPr>
      <w:r w:rsidRPr="00983EC6">
        <w:rPr>
          <w:rFonts w:ascii="Times New Roman" w:hAnsi="Times New Roman" w:cs="Times New Roman"/>
          <w:b/>
          <w:bCs/>
          <w:sz w:val="24"/>
          <w:szCs w:val="24"/>
          <w:lang w:val="en-US"/>
        </w:rPr>
        <w:t>Rental Contracts</w:t>
      </w:r>
    </w:p>
    <w:p w14:paraId="3F9B3361" w14:textId="2F8896F7" w:rsidR="00A274F6" w:rsidRPr="00983EC6" w:rsidRDefault="00A274F6" w:rsidP="00983EC6">
      <w:pPr>
        <w:spacing w:line="360" w:lineRule="auto"/>
        <w:jc w:val="both"/>
        <w:rPr>
          <w:rFonts w:ascii="Times New Roman" w:hAnsi="Times New Roman" w:cs="Times New Roman"/>
          <w:sz w:val="24"/>
          <w:szCs w:val="24"/>
          <w:lang w:val="en-US"/>
        </w:rPr>
      </w:pPr>
      <w:r w:rsidRPr="00983EC6">
        <w:rPr>
          <w:rFonts w:ascii="Times New Roman" w:hAnsi="Times New Roman" w:cs="Times New Roman"/>
          <w:sz w:val="24"/>
          <w:szCs w:val="24"/>
          <w:lang w:val="en-US"/>
        </w:rPr>
        <w:t>Depending on the situation, lease agreements or leave and license agreements serve as contracts between commercial tenants (such as restaurants, retailers, and multiplexes) and property owners. Tenants have requested rental waivers from premise owners in the aftermath of Covid-19, citing FM owing to government-ordered closures of non-essential companies.</w:t>
      </w:r>
    </w:p>
    <w:p w14:paraId="60C90E93" w14:textId="77777777" w:rsidR="00E173CD" w:rsidRDefault="00A274F6" w:rsidP="00983EC6">
      <w:pPr>
        <w:spacing w:line="360" w:lineRule="auto"/>
        <w:jc w:val="both"/>
        <w:rPr>
          <w:rFonts w:ascii="Times New Roman" w:hAnsi="Times New Roman" w:cs="Times New Roman"/>
          <w:sz w:val="24"/>
          <w:szCs w:val="24"/>
          <w:lang w:val="en-US"/>
        </w:rPr>
      </w:pPr>
      <w:r w:rsidRPr="00983EC6">
        <w:rPr>
          <w:rFonts w:ascii="Times New Roman" w:hAnsi="Times New Roman" w:cs="Times New Roman"/>
          <w:sz w:val="24"/>
          <w:szCs w:val="24"/>
          <w:lang w:val="en-US"/>
        </w:rPr>
        <w:t xml:space="preserve">An FM provision is usually included in lease agreements. A virus epidemic or a pandemic, on the other hand, are not typical aspects of the FM clause. Unsurprisingly, the Delhi High Court in Ramanand v Girish </w:t>
      </w:r>
      <w:proofErr w:type="spellStart"/>
      <w:r w:rsidRPr="00983EC6">
        <w:rPr>
          <w:rFonts w:ascii="Times New Roman" w:hAnsi="Times New Roman" w:cs="Times New Roman"/>
          <w:sz w:val="24"/>
          <w:szCs w:val="24"/>
          <w:lang w:val="en-US"/>
        </w:rPr>
        <w:t>Soni</w:t>
      </w:r>
      <w:proofErr w:type="spellEnd"/>
      <w:r w:rsidRPr="00983EC6">
        <w:rPr>
          <w:rFonts w:ascii="Times New Roman" w:hAnsi="Times New Roman" w:cs="Times New Roman"/>
          <w:sz w:val="24"/>
          <w:szCs w:val="24"/>
          <w:lang w:val="en-US"/>
        </w:rPr>
        <w:t xml:space="preserve"> (2020) held that renters can only claim a rent waiver if the FM clause clearly allows it. </w:t>
      </w:r>
    </w:p>
    <w:p w14:paraId="2DA4DCD8" w14:textId="65DCC045" w:rsidR="00A274F6" w:rsidRPr="00983EC6" w:rsidRDefault="00A274F6" w:rsidP="00983EC6">
      <w:pPr>
        <w:spacing w:line="360" w:lineRule="auto"/>
        <w:jc w:val="both"/>
        <w:rPr>
          <w:rFonts w:ascii="Times New Roman" w:hAnsi="Times New Roman" w:cs="Times New Roman"/>
          <w:sz w:val="24"/>
          <w:szCs w:val="24"/>
          <w:lang w:val="en-US"/>
        </w:rPr>
      </w:pPr>
      <w:r w:rsidRPr="00983EC6">
        <w:rPr>
          <w:rFonts w:ascii="Times New Roman" w:hAnsi="Times New Roman" w:cs="Times New Roman"/>
          <w:sz w:val="24"/>
          <w:szCs w:val="24"/>
          <w:lang w:val="en-US"/>
        </w:rPr>
        <w:t>In the absence of an FM clause, the relationship between parties is governed by u/S 108 (B)(e) of the Transfer of Property Act, 1882 which requires the property to be ‘wholly destroyed or rendered permanently unfit for use’ for invoking a waiver.</w:t>
      </w:r>
      <w:r w:rsidRPr="00983EC6">
        <w:rPr>
          <w:rStyle w:val="FootnoteReference"/>
          <w:rFonts w:ascii="Times New Roman" w:hAnsi="Times New Roman" w:cs="Times New Roman"/>
          <w:sz w:val="24"/>
          <w:szCs w:val="24"/>
          <w:lang w:val="en-US"/>
        </w:rPr>
        <w:footnoteReference w:id="5"/>
      </w:r>
      <w:r w:rsidRPr="00983EC6">
        <w:rPr>
          <w:rFonts w:ascii="Times New Roman" w:hAnsi="Times New Roman" w:cs="Times New Roman"/>
          <w:b/>
          <w:bCs/>
          <w:sz w:val="24"/>
          <w:szCs w:val="24"/>
          <w:lang w:val="en-US"/>
        </w:rPr>
        <w:t xml:space="preserve"> </w:t>
      </w:r>
      <w:r w:rsidRPr="00983EC6">
        <w:rPr>
          <w:rFonts w:ascii="Times New Roman" w:hAnsi="Times New Roman" w:cs="Times New Roman"/>
          <w:sz w:val="24"/>
          <w:szCs w:val="24"/>
          <w:lang w:val="en-US"/>
        </w:rPr>
        <w:t>The Supreme Court interpreted the words "essentially and permanently unfit" in Raja Dhruv Dev v</w:t>
      </w:r>
      <w:r w:rsidR="00983EC6">
        <w:rPr>
          <w:rFonts w:ascii="Times New Roman" w:hAnsi="Times New Roman" w:cs="Times New Roman"/>
          <w:sz w:val="24"/>
          <w:szCs w:val="24"/>
          <w:lang w:val="en-US"/>
        </w:rPr>
        <w:t xml:space="preserve">/s </w:t>
      </w:r>
      <w:r w:rsidRPr="00983EC6">
        <w:rPr>
          <w:rFonts w:ascii="Times New Roman" w:hAnsi="Times New Roman" w:cs="Times New Roman"/>
          <w:sz w:val="24"/>
          <w:szCs w:val="24"/>
          <w:lang w:val="en-US"/>
        </w:rPr>
        <w:t xml:space="preserve">Harmohinder Singh (1968), holding that transitory non-use does not entitle a tenant to utilize this section. As a result, business renters have no contractual protection. </w:t>
      </w:r>
    </w:p>
    <w:p w14:paraId="71BC8198" w14:textId="3DA6E2D7" w:rsidR="00A274F6" w:rsidRPr="00983EC6" w:rsidRDefault="00A274F6" w:rsidP="00983EC6">
      <w:pPr>
        <w:spacing w:line="360" w:lineRule="auto"/>
        <w:jc w:val="both"/>
        <w:rPr>
          <w:rFonts w:ascii="Times New Roman" w:hAnsi="Times New Roman" w:cs="Times New Roman"/>
          <w:b/>
          <w:bCs/>
          <w:sz w:val="24"/>
          <w:szCs w:val="24"/>
          <w:lang w:val="en-US"/>
        </w:rPr>
      </w:pPr>
      <w:r w:rsidRPr="00983EC6">
        <w:rPr>
          <w:rFonts w:ascii="Times New Roman" w:hAnsi="Times New Roman" w:cs="Times New Roman"/>
          <w:b/>
          <w:bCs/>
          <w:sz w:val="24"/>
          <w:szCs w:val="24"/>
          <w:lang w:val="en-US"/>
        </w:rPr>
        <w:t>Power Purchase Agreement</w:t>
      </w:r>
    </w:p>
    <w:p w14:paraId="24EF2287" w14:textId="77777777" w:rsidR="004C2098" w:rsidRPr="00983EC6" w:rsidRDefault="004C2098" w:rsidP="00983EC6">
      <w:pPr>
        <w:spacing w:line="360" w:lineRule="auto"/>
        <w:jc w:val="both"/>
        <w:rPr>
          <w:rFonts w:ascii="Times New Roman" w:hAnsi="Times New Roman" w:cs="Times New Roman"/>
          <w:sz w:val="24"/>
          <w:szCs w:val="24"/>
          <w:lang w:val="en-US"/>
        </w:rPr>
      </w:pPr>
      <w:r w:rsidRPr="00983EC6">
        <w:rPr>
          <w:rFonts w:ascii="Times New Roman" w:hAnsi="Times New Roman" w:cs="Times New Roman"/>
          <w:sz w:val="24"/>
          <w:szCs w:val="24"/>
          <w:lang w:val="en-US"/>
        </w:rPr>
        <w:t>DISCOMs have invoked FM under their power purchase agreements (PPAs) by delaying payments to power producers, citing Covid-related concerns. Power producers, on the other hand, maintain that the lockdown had no impact on distribution businesses' capacity to sell electricity because power generating and distribution were important services that were not hampered by the lockdowns.</w:t>
      </w:r>
    </w:p>
    <w:p w14:paraId="62073F9B" w14:textId="1B1054FD" w:rsidR="004C2098" w:rsidRPr="00983EC6" w:rsidRDefault="004C2098" w:rsidP="00983EC6">
      <w:pPr>
        <w:spacing w:line="360" w:lineRule="auto"/>
        <w:jc w:val="both"/>
        <w:rPr>
          <w:rFonts w:ascii="Times New Roman" w:hAnsi="Times New Roman" w:cs="Times New Roman"/>
          <w:sz w:val="24"/>
          <w:szCs w:val="24"/>
          <w:lang w:val="en-US"/>
        </w:rPr>
      </w:pPr>
      <w:r w:rsidRPr="00983EC6">
        <w:rPr>
          <w:rFonts w:ascii="Times New Roman" w:hAnsi="Times New Roman" w:cs="Times New Roman"/>
          <w:sz w:val="24"/>
          <w:szCs w:val="24"/>
          <w:lang w:val="en-US"/>
        </w:rPr>
        <w:t xml:space="preserve">Because Covid-19 or lockdowns haven't rendered contractual responsibilities temporarily or permanently impossible, they can't be classified as an FM event under Proposition 1's standards. Furthermore, as previously stated, an arrangement that becomes commercially burdensome or a case of decreasing demand does not qualify as FM or serve as a basis for contract termination. In Energy Watchdog v CERC (2017), the Supreme Court reaffirmed this </w:t>
      </w:r>
      <w:r w:rsidRPr="00983EC6">
        <w:rPr>
          <w:rFonts w:ascii="Times New Roman" w:hAnsi="Times New Roman" w:cs="Times New Roman"/>
          <w:sz w:val="24"/>
          <w:szCs w:val="24"/>
          <w:lang w:val="en-US"/>
        </w:rPr>
        <w:lastRenderedPageBreak/>
        <w:t>position, stating that an increase in coal prices or the agreement becoming more difficult to perform are not FM events.</w:t>
      </w:r>
    </w:p>
    <w:p w14:paraId="730A80D7" w14:textId="39FE4296" w:rsidR="00A274F6" w:rsidRPr="00983EC6" w:rsidRDefault="004C2098" w:rsidP="00983EC6">
      <w:pPr>
        <w:spacing w:line="360" w:lineRule="auto"/>
        <w:jc w:val="both"/>
        <w:rPr>
          <w:rFonts w:ascii="Times New Roman" w:hAnsi="Times New Roman" w:cs="Times New Roman"/>
          <w:b/>
          <w:bCs/>
          <w:sz w:val="24"/>
          <w:szCs w:val="24"/>
          <w:lang w:val="en-US"/>
        </w:rPr>
      </w:pPr>
      <w:r w:rsidRPr="00983EC6">
        <w:rPr>
          <w:rFonts w:ascii="Times New Roman" w:hAnsi="Times New Roman" w:cs="Times New Roman"/>
          <w:b/>
          <w:bCs/>
          <w:sz w:val="24"/>
          <w:szCs w:val="24"/>
          <w:lang w:val="en-US"/>
        </w:rPr>
        <w:t xml:space="preserve">Judicial Responses </w:t>
      </w:r>
    </w:p>
    <w:p w14:paraId="1A4DFAAA" w14:textId="2D31AF6E" w:rsidR="004C2098" w:rsidRPr="00983EC6" w:rsidRDefault="004C2098" w:rsidP="00983EC6">
      <w:pPr>
        <w:spacing w:line="360" w:lineRule="auto"/>
        <w:jc w:val="both"/>
        <w:rPr>
          <w:rFonts w:ascii="Times New Roman" w:hAnsi="Times New Roman" w:cs="Times New Roman"/>
          <w:b/>
          <w:bCs/>
          <w:sz w:val="24"/>
          <w:szCs w:val="24"/>
          <w:lang w:val="en-US"/>
        </w:rPr>
      </w:pPr>
      <w:r w:rsidRPr="00983EC6">
        <w:rPr>
          <w:rFonts w:ascii="Times New Roman" w:hAnsi="Times New Roman" w:cs="Times New Roman"/>
          <w:b/>
          <w:bCs/>
          <w:sz w:val="24"/>
          <w:szCs w:val="24"/>
          <w:lang w:val="en-US"/>
        </w:rPr>
        <w:t>M/s. Halliburton Offshore Services Inc. vs Vedanta Limited &amp; Another 20 April 2020</w:t>
      </w:r>
      <w:r w:rsidR="00092D50" w:rsidRPr="00983EC6">
        <w:rPr>
          <w:rStyle w:val="FootnoteReference"/>
          <w:rFonts w:ascii="Times New Roman" w:hAnsi="Times New Roman" w:cs="Times New Roman"/>
          <w:b/>
          <w:bCs/>
          <w:sz w:val="24"/>
          <w:szCs w:val="24"/>
          <w:lang w:val="en-US"/>
        </w:rPr>
        <w:footnoteReference w:id="6"/>
      </w:r>
    </w:p>
    <w:p w14:paraId="64D627C7" w14:textId="3F6EE61B" w:rsidR="004C2098" w:rsidRPr="00983EC6" w:rsidRDefault="00092D50" w:rsidP="00983EC6">
      <w:pPr>
        <w:spacing w:line="360" w:lineRule="auto"/>
        <w:jc w:val="both"/>
        <w:rPr>
          <w:rFonts w:ascii="Times New Roman" w:hAnsi="Times New Roman" w:cs="Times New Roman"/>
          <w:sz w:val="24"/>
          <w:szCs w:val="24"/>
          <w:lang w:val="en-US"/>
        </w:rPr>
      </w:pPr>
      <w:r w:rsidRPr="00983EC6">
        <w:rPr>
          <w:rFonts w:ascii="Times New Roman" w:hAnsi="Times New Roman" w:cs="Times New Roman"/>
          <w:sz w:val="24"/>
          <w:szCs w:val="24"/>
          <w:lang w:val="en-US"/>
        </w:rPr>
        <w:t xml:space="preserve">The Delhi High Court's most recent ruling in deciding whether COVID-19 will be a force majeure event in the contract between the parties in question is available here. This judgement is significant because the judge stressed that, while the incident in this case was regarded a force majeure event, it will not be treated the same in every contract. COVID-19 shall be considered a force majeure event based on the facts and circumstances of the case, and only if the parties can demonstrate that the non-performance is attributable to the pandemic. </w:t>
      </w:r>
    </w:p>
    <w:p w14:paraId="1C7E77EC" w14:textId="7AF3D359" w:rsidR="00092D50" w:rsidRPr="00983EC6" w:rsidRDefault="00092D50" w:rsidP="00983EC6">
      <w:pPr>
        <w:spacing w:line="360" w:lineRule="auto"/>
        <w:jc w:val="both"/>
        <w:rPr>
          <w:rFonts w:ascii="Times New Roman" w:hAnsi="Times New Roman" w:cs="Times New Roman"/>
          <w:sz w:val="24"/>
          <w:szCs w:val="24"/>
          <w:lang w:val="en-US"/>
        </w:rPr>
      </w:pPr>
      <w:r w:rsidRPr="00983EC6">
        <w:rPr>
          <w:rFonts w:ascii="Times New Roman" w:hAnsi="Times New Roman" w:cs="Times New Roman"/>
          <w:sz w:val="24"/>
          <w:szCs w:val="24"/>
          <w:lang w:val="en-US"/>
        </w:rPr>
        <w:t>This ruling clarifies that the COVID-19 would not be considered a force majeure occurrence in general, and that it will differ from situation to case. As a result, this ruling implies that just because a pandemic exists does not allow the parties to terminate the contract due to force majeure or frustration. The "impossibility of performance" will remain the criterion.</w:t>
      </w:r>
    </w:p>
    <w:p w14:paraId="76FFFC42" w14:textId="66E5D5E2" w:rsidR="00092D50" w:rsidRPr="00983EC6" w:rsidRDefault="00092D50" w:rsidP="00983EC6">
      <w:pPr>
        <w:spacing w:line="360" w:lineRule="auto"/>
        <w:jc w:val="both"/>
        <w:rPr>
          <w:rFonts w:ascii="Times New Roman" w:hAnsi="Times New Roman" w:cs="Times New Roman"/>
          <w:b/>
          <w:bCs/>
          <w:sz w:val="24"/>
          <w:szCs w:val="24"/>
          <w:lang w:val="en-US"/>
        </w:rPr>
      </w:pPr>
      <w:r w:rsidRPr="00983EC6">
        <w:rPr>
          <w:rFonts w:ascii="Times New Roman" w:hAnsi="Times New Roman" w:cs="Times New Roman"/>
          <w:b/>
          <w:bCs/>
          <w:sz w:val="24"/>
          <w:szCs w:val="24"/>
          <w:lang w:val="en-US"/>
        </w:rPr>
        <w:t>Bombay High Court’s Order passed in Rural Fair price Wholesale Ltd. &amp; Another. vs IDBI Trusteeship Services Ltd. &amp; Others. on 3 April 2020</w:t>
      </w:r>
      <w:r w:rsidRPr="00983EC6">
        <w:rPr>
          <w:rStyle w:val="FootnoteReference"/>
          <w:rFonts w:ascii="Times New Roman" w:hAnsi="Times New Roman" w:cs="Times New Roman"/>
          <w:b/>
          <w:bCs/>
          <w:sz w:val="24"/>
          <w:szCs w:val="24"/>
          <w:lang w:val="en-US"/>
        </w:rPr>
        <w:footnoteReference w:id="7"/>
      </w:r>
    </w:p>
    <w:p w14:paraId="30FF9E5B" w14:textId="75C75E38" w:rsidR="00092D50" w:rsidRPr="00983EC6" w:rsidRDefault="00092D50" w:rsidP="00983EC6">
      <w:pPr>
        <w:spacing w:line="360" w:lineRule="auto"/>
        <w:jc w:val="both"/>
        <w:rPr>
          <w:rFonts w:ascii="Times New Roman" w:hAnsi="Times New Roman" w:cs="Times New Roman"/>
          <w:sz w:val="24"/>
          <w:szCs w:val="24"/>
          <w:lang w:val="en-US"/>
        </w:rPr>
      </w:pPr>
      <w:r w:rsidRPr="00983EC6">
        <w:rPr>
          <w:rFonts w:ascii="Times New Roman" w:hAnsi="Times New Roman" w:cs="Times New Roman"/>
          <w:sz w:val="24"/>
          <w:szCs w:val="24"/>
          <w:lang w:val="en-US"/>
        </w:rPr>
        <w:t>In the above case, the Bombay High Court recognized the market situation as a result of COVID-19, observing that the share market had collapsed as a result of COVID-19, and thus it was a proper case to enjoin the bank from acting on the sale notices and to order the withdrawal of any pending sale orders for the pledged shares.</w:t>
      </w:r>
    </w:p>
    <w:p w14:paraId="7C768A51" w14:textId="3F822141" w:rsidR="00092D50" w:rsidRPr="00983EC6" w:rsidRDefault="00092D50" w:rsidP="00983EC6">
      <w:pPr>
        <w:spacing w:line="360" w:lineRule="auto"/>
        <w:jc w:val="both"/>
        <w:rPr>
          <w:rFonts w:ascii="Times New Roman" w:hAnsi="Times New Roman" w:cs="Times New Roman"/>
          <w:b/>
          <w:bCs/>
          <w:sz w:val="24"/>
          <w:szCs w:val="24"/>
          <w:lang w:val="en-US"/>
        </w:rPr>
      </w:pPr>
      <w:r w:rsidRPr="00983EC6">
        <w:rPr>
          <w:rFonts w:ascii="Times New Roman" w:hAnsi="Times New Roman" w:cs="Times New Roman"/>
          <w:b/>
          <w:bCs/>
          <w:sz w:val="24"/>
          <w:szCs w:val="24"/>
          <w:lang w:val="en-US"/>
        </w:rPr>
        <w:t>Bombay High Court’s Order passed in Standard Retail Pvt. Ltd vs Gs Global Corporation and Others on 8 April, 2020</w:t>
      </w:r>
      <w:r w:rsidRPr="00983EC6">
        <w:rPr>
          <w:rStyle w:val="FootnoteReference"/>
          <w:rFonts w:ascii="Times New Roman" w:hAnsi="Times New Roman" w:cs="Times New Roman"/>
          <w:b/>
          <w:bCs/>
          <w:sz w:val="24"/>
          <w:szCs w:val="24"/>
          <w:lang w:val="en-US"/>
        </w:rPr>
        <w:footnoteReference w:id="8"/>
      </w:r>
    </w:p>
    <w:p w14:paraId="7270C0B7" w14:textId="1A4B2216" w:rsidR="00092D50" w:rsidRPr="00983EC6" w:rsidRDefault="00092D50" w:rsidP="00983EC6">
      <w:pPr>
        <w:spacing w:line="360" w:lineRule="auto"/>
        <w:jc w:val="both"/>
        <w:rPr>
          <w:rFonts w:ascii="Times New Roman" w:hAnsi="Times New Roman" w:cs="Times New Roman"/>
          <w:sz w:val="24"/>
          <w:szCs w:val="24"/>
          <w:lang w:val="en-US"/>
        </w:rPr>
      </w:pPr>
      <w:r w:rsidRPr="00983EC6">
        <w:rPr>
          <w:rFonts w:ascii="Times New Roman" w:hAnsi="Times New Roman" w:cs="Times New Roman"/>
          <w:sz w:val="24"/>
          <w:szCs w:val="24"/>
          <w:lang w:val="en-US"/>
        </w:rPr>
        <w:t xml:space="preserve">The Bombay High Court, in a deviation from its 3 April 2020 Order, refused to give interim measures to the Petitioner, stating that the commodity in question was a vital item and that the </w:t>
      </w:r>
      <w:r w:rsidRPr="00983EC6">
        <w:rPr>
          <w:rFonts w:ascii="Times New Roman" w:hAnsi="Times New Roman" w:cs="Times New Roman"/>
          <w:sz w:val="24"/>
          <w:szCs w:val="24"/>
          <w:lang w:val="en-US"/>
        </w:rPr>
        <w:lastRenderedPageBreak/>
        <w:t>lockdown was only temporary. As a result, Petitioner is unable to avoid fulfilling its contractual responsibility to pay the Respondents.</w:t>
      </w:r>
    </w:p>
    <w:p w14:paraId="7222390B" w14:textId="487D51A4" w:rsidR="00092D50" w:rsidRPr="00983EC6" w:rsidRDefault="00092D50" w:rsidP="00983EC6">
      <w:pPr>
        <w:spacing w:line="360" w:lineRule="auto"/>
        <w:jc w:val="both"/>
        <w:rPr>
          <w:rFonts w:ascii="Times New Roman" w:hAnsi="Times New Roman" w:cs="Times New Roman"/>
          <w:b/>
          <w:bCs/>
          <w:sz w:val="24"/>
          <w:szCs w:val="24"/>
          <w:lang w:val="en-US"/>
        </w:rPr>
      </w:pPr>
      <w:r w:rsidRPr="00983EC6">
        <w:rPr>
          <w:rFonts w:ascii="Times New Roman" w:hAnsi="Times New Roman" w:cs="Times New Roman"/>
          <w:b/>
          <w:bCs/>
          <w:sz w:val="24"/>
          <w:szCs w:val="24"/>
          <w:lang w:val="en-US"/>
        </w:rPr>
        <w:t>Conclusion</w:t>
      </w:r>
    </w:p>
    <w:p w14:paraId="2317942D" w14:textId="77777777" w:rsidR="00460E0F" w:rsidRPr="00983EC6" w:rsidRDefault="00460E0F" w:rsidP="00983EC6">
      <w:pPr>
        <w:spacing w:line="360" w:lineRule="auto"/>
        <w:jc w:val="both"/>
        <w:rPr>
          <w:rFonts w:ascii="Times New Roman" w:hAnsi="Times New Roman" w:cs="Times New Roman"/>
          <w:sz w:val="24"/>
          <w:szCs w:val="24"/>
          <w:lang w:val="en-US"/>
        </w:rPr>
      </w:pPr>
      <w:r w:rsidRPr="00983EC6">
        <w:rPr>
          <w:rFonts w:ascii="Times New Roman" w:hAnsi="Times New Roman" w:cs="Times New Roman"/>
          <w:sz w:val="24"/>
          <w:szCs w:val="24"/>
          <w:lang w:val="en-US"/>
        </w:rPr>
        <w:t>A closer examination of the approach taken by courts on the subject of force majeure reveals that there are no hard and fast rules regarding the use of the notion of force majeure to excuse a party from contract performance.</w:t>
      </w:r>
    </w:p>
    <w:p w14:paraId="39B829A3" w14:textId="6B83D546" w:rsidR="00092D50" w:rsidRPr="00983EC6" w:rsidRDefault="00460E0F" w:rsidP="00983EC6">
      <w:pPr>
        <w:spacing w:line="360" w:lineRule="auto"/>
        <w:jc w:val="both"/>
        <w:rPr>
          <w:rFonts w:ascii="Times New Roman" w:hAnsi="Times New Roman" w:cs="Times New Roman"/>
          <w:sz w:val="24"/>
          <w:szCs w:val="24"/>
          <w:lang w:val="en-US"/>
        </w:rPr>
      </w:pPr>
      <w:r w:rsidRPr="00983EC6">
        <w:rPr>
          <w:rFonts w:ascii="Times New Roman" w:hAnsi="Times New Roman" w:cs="Times New Roman"/>
          <w:sz w:val="24"/>
          <w:szCs w:val="24"/>
          <w:lang w:val="en-US"/>
        </w:rPr>
        <w:t>The courts have taken the approach of examining the matter based on the facts of each case and granting relief to the parties as a result. As a result, parties should avoid attempting to show dissatisfaction in situations where performance is otherwise achievable. Furthermore, the proximity of the incident to the non-performance, which is not attributable or foreseeable by the parties and thus falls under the three standards outlined above, becomes significant.</w:t>
      </w:r>
    </w:p>
    <w:p w14:paraId="3B99D4AB" w14:textId="3A4C4200" w:rsidR="00460E0F" w:rsidRDefault="00460E0F" w:rsidP="00983EC6">
      <w:pPr>
        <w:spacing w:line="360" w:lineRule="auto"/>
        <w:jc w:val="both"/>
        <w:rPr>
          <w:rFonts w:ascii="Times New Roman" w:hAnsi="Times New Roman" w:cs="Times New Roman"/>
          <w:sz w:val="24"/>
          <w:szCs w:val="24"/>
          <w:lang w:val="en-US"/>
        </w:rPr>
      </w:pPr>
      <w:r w:rsidRPr="00983EC6">
        <w:rPr>
          <w:rFonts w:ascii="Times New Roman" w:hAnsi="Times New Roman" w:cs="Times New Roman"/>
          <w:sz w:val="24"/>
          <w:szCs w:val="24"/>
          <w:lang w:val="en-US"/>
        </w:rPr>
        <w:t>The COVID-19 scenario could be considered transient, making it difficult for parties to terminate contracts just because they are frustrated or unable to execute.</w:t>
      </w:r>
    </w:p>
    <w:p w14:paraId="60097E45" w14:textId="77777777" w:rsidR="00E173CD" w:rsidRDefault="00E173CD" w:rsidP="00983EC6">
      <w:pPr>
        <w:spacing w:line="360" w:lineRule="auto"/>
        <w:jc w:val="both"/>
        <w:rPr>
          <w:rFonts w:ascii="Times New Roman" w:hAnsi="Times New Roman" w:cs="Times New Roman"/>
          <w:b/>
          <w:bCs/>
          <w:sz w:val="24"/>
          <w:szCs w:val="24"/>
          <w:lang w:val="en-US"/>
        </w:rPr>
      </w:pPr>
    </w:p>
    <w:p w14:paraId="50E8006D" w14:textId="77777777" w:rsidR="00E173CD" w:rsidRDefault="00E173CD" w:rsidP="00983EC6">
      <w:pPr>
        <w:spacing w:line="360" w:lineRule="auto"/>
        <w:jc w:val="both"/>
        <w:rPr>
          <w:rFonts w:ascii="Times New Roman" w:hAnsi="Times New Roman" w:cs="Times New Roman"/>
          <w:b/>
          <w:bCs/>
          <w:sz w:val="24"/>
          <w:szCs w:val="24"/>
          <w:lang w:val="en-US"/>
        </w:rPr>
      </w:pPr>
    </w:p>
    <w:p w14:paraId="16839CC1" w14:textId="77777777" w:rsidR="00E173CD" w:rsidRDefault="00E173CD" w:rsidP="00983EC6">
      <w:pPr>
        <w:spacing w:line="360" w:lineRule="auto"/>
        <w:jc w:val="both"/>
        <w:rPr>
          <w:rFonts w:ascii="Times New Roman" w:hAnsi="Times New Roman" w:cs="Times New Roman"/>
          <w:b/>
          <w:bCs/>
          <w:sz w:val="24"/>
          <w:szCs w:val="24"/>
          <w:lang w:val="en-US"/>
        </w:rPr>
      </w:pPr>
    </w:p>
    <w:p w14:paraId="61104087" w14:textId="77777777" w:rsidR="00E173CD" w:rsidRDefault="00E173CD" w:rsidP="00983EC6">
      <w:pPr>
        <w:spacing w:line="360" w:lineRule="auto"/>
        <w:jc w:val="both"/>
        <w:rPr>
          <w:rFonts w:ascii="Times New Roman" w:hAnsi="Times New Roman" w:cs="Times New Roman"/>
          <w:b/>
          <w:bCs/>
          <w:sz w:val="24"/>
          <w:szCs w:val="24"/>
          <w:lang w:val="en-US"/>
        </w:rPr>
      </w:pPr>
    </w:p>
    <w:p w14:paraId="56C25607" w14:textId="77777777" w:rsidR="00E173CD" w:rsidRDefault="00E173CD" w:rsidP="00983EC6">
      <w:pPr>
        <w:spacing w:line="360" w:lineRule="auto"/>
        <w:jc w:val="both"/>
        <w:rPr>
          <w:rFonts w:ascii="Times New Roman" w:hAnsi="Times New Roman" w:cs="Times New Roman"/>
          <w:b/>
          <w:bCs/>
          <w:sz w:val="24"/>
          <w:szCs w:val="24"/>
          <w:lang w:val="en-US"/>
        </w:rPr>
      </w:pPr>
    </w:p>
    <w:p w14:paraId="42FD82A7" w14:textId="77777777" w:rsidR="00E173CD" w:rsidRDefault="00E173CD" w:rsidP="00983EC6">
      <w:pPr>
        <w:spacing w:line="360" w:lineRule="auto"/>
        <w:jc w:val="both"/>
        <w:rPr>
          <w:rFonts w:ascii="Times New Roman" w:hAnsi="Times New Roman" w:cs="Times New Roman"/>
          <w:b/>
          <w:bCs/>
          <w:sz w:val="24"/>
          <w:szCs w:val="24"/>
          <w:lang w:val="en-US"/>
        </w:rPr>
      </w:pPr>
    </w:p>
    <w:p w14:paraId="546A5E74" w14:textId="77777777" w:rsidR="00E173CD" w:rsidRDefault="00E173CD" w:rsidP="00983EC6">
      <w:pPr>
        <w:spacing w:line="360" w:lineRule="auto"/>
        <w:jc w:val="both"/>
        <w:rPr>
          <w:rFonts w:ascii="Times New Roman" w:hAnsi="Times New Roman" w:cs="Times New Roman"/>
          <w:b/>
          <w:bCs/>
          <w:sz w:val="24"/>
          <w:szCs w:val="24"/>
          <w:lang w:val="en-US"/>
        </w:rPr>
      </w:pPr>
    </w:p>
    <w:p w14:paraId="63FEDEAA" w14:textId="77777777" w:rsidR="00E173CD" w:rsidRDefault="00E173CD" w:rsidP="00983EC6">
      <w:pPr>
        <w:spacing w:line="360" w:lineRule="auto"/>
        <w:jc w:val="both"/>
        <w:rPr>
          <w:rFonts w:ascii="Times New Roman" w:hAnsi="Times New Roman" w:cs="Times New Roman"/>
          <w:b/>
          <w:bCs/>
          <w:sz w:val="24"/>
          <w:szCs w:val="24"/>
          <w:lang w:val="en-US"/>
        </w:rPr>
      </w:pPr>
    </w:p>
    <w:p w14:paraId="7792322E" w14:textId="77777777" w:rsidR="00E173CD" w:rsidRDefault="00E173CD" w:rsidP="00983EC6">
      <w:pPr>
        <w:spacing w:line="360" w:lineRule="auto"/>
        <w:jc w:val="both"/>
        <w:rPr>
          <w:rFonts w:ascii="Times New Roman" w:hAnsi="Times New Roman" w:cs="Times New Roman"/>
          <w:b/>
          <w:bCs/>
          <w:sz w:val="24"/>
          <w:szCs w:val="24"/>
          <w:lang w:val="en-US"/>
        </w:rPr>
      </w:pPr>
    </w:p>
    <w:p w14:paraId="0581A6E9" w14:textId="77777777" w:rsidR="00E173CD" w:rsidRDefault="00E173CD" w:rsidP="00983EC6">
      <w:pPr>
        <w:spacing w:line="360" w:lineRule="auto"/>
        <w:jc w:val="both"/>
        <w:rPr>
          <w:rFonts w:ascii="Times New Roman" w:hAnsi="Times New Roman" w:cs="Times New Roman"/>
          <w:b/>
          <w:bCs/>
          <w:sz w:val="24"/>
          <w:szCs w:val="24"/>
          <w:lang w:val="en-US"/>
        </w:rPr>
      </w:pPr>
    </w:p>
    <w:p w14:paraId="7327FC0A" w14:textId="77777777" w:rsidR="00E173CD" w:rsidRDefault="00E173CD" w:rsidP="00983EC6">
      <w:pPr>
        <w:spacing w:line="360" w:lineRule="auto"/>
        <w:jc w:val="both"/>
        <w:rPr>
          <w:rFonts w:ascii="Times New Roman" w:hAnsi="Times New Roman" w:cs="Times New Roman"/>
          <w:b/>
          <w:bCs/>
          <w:sz w:val="24"/>
          <w:szCs w:val="24"/>
          <w:lang w:val="en-US"/>
        </w:rPr>
      </w:pPr>
    </w:p>
    <w:p w14:paraId="09968440" w14:textId="77777777" w:rsidR="00E173CD" w:rsidRDefault="00E173CD" w:rsidP="00983EC6">
      <w:pPr>
        <w:spacing w:line="360" w:lineRule="auto"/>
        <w:jc w:val="both"/>
        <w:rPr>
          <w:rFonts w:ascii="Times New Roman" w:hAnsi="Times New Roman" w:cs="Times New Roman"/>
          <w:b/>
          <w:bCs/>
          <w:sz w:val="24"/>
          <w:szCs w:val="24"/>
          <w:lang w:val="en-US"/>
        </w:rPr>
      </w:pPr>
    </w:p>
    <w:p w14:paraId="626C67EC" w14:textId="77777777" w:rsidR="00E173CD" w:rsidRDefault="00E173CD" w:rsidP="00983EC6">
      <w:pPr>
        <w:spacing w:line="360" w:lineRule="auto"/>
        <w:jc w:val="both"/>
        <w:rPr>
          <w:rFonts w:ascii="Times New Roman" w:hAnsi="Times New Roman" w:cs="Times New Roman"/>
          <w:b/>
          <w:bCs/>
          <w:sz w:val="24"/>
          <w:szCs w:val="24"/>
          <w:lang w:val="en-US"/>
        </w:rPr>
      </w:pPr>
    </w:p>
    <w:p w14:paraId="075C0EAD" w14:textId="77777777" w:rsidR="00E173CD" w:rsidRDefault="00E173CD" w:rsidP="00983EC6">
      <w:pPr>
        <w:spacing w:line="360" w:lineRule="auto"/>
        <w:jc w:val="both"/>
        <w:rPr>
          <w:rFonts w:ascii="Times New Roman" w:hAnsi="Times New Roman" w:cs="Times New Roman"/>
          <w:b/>
          <w:bCs/>
          <w:sz w:val="24"/>
          <w:szCs w:val="24"/>
          <w:lang w:val="en-US"/>
        </w:rPr>
      </w:pPr>
    </w:p>
    <w:p w14:paraId="1A8CDCE8" w14:textId="3BF37F01" w:rsidR="003609AE" w:rsidRPr="003609AE" w:rsidRDefault="003609AE" w:rsidP="00983EC6">
      <w:pPr>
        <w:spacing w:line="360" w:lineRule="auto"/>
        <w:jc w:val="both"/>
        <w:rPr>
          <w:rFonts w:ascii="Times New Roman" w:hAnsi="Times New Roman" w:cs="Times New Roman"/>
          <w:b/>
          <w:bCs/>
          <w:sz w:val="24"/>
          <w:szCs w:val="24"/>
          <w:lang w:val="en-US"/>
        </w:rPr>
      </w:pPr>
      <w:r w:rsidRPr="003609AE">
        <w:rPr>
          <w:rFonts w:ascii="Times New Roman" w:hAnsi="Times New Roman" w:cs="Times New Roman"/>
          <w:b/>
          <w:bCs/>
          <w:sz w:val="24"/>
          <w:szCs w:val="24"/>
          <w:lang w:val="en-US"/>
        </w:rPr>
        <w:lastRenderedPageBreak/>
        <w:t xml:space="preserve">References </w:t>
      </w:r>
    </w:p>
    <w:p w14:paraId="73B5BF46" w14:textId="080FBE6F" w:rsidR="003609AE" w:rsidRPr="003609AE" w:rsidRDefault="00E173CD" w:rsidP="00983EC6">
      <w:pPr>
        <w:spacing w:line="360" w:lineRule="auto"/>
        <w:jc w:val="both"/>
        <w:rPr>
          <w:rStyle w:val="Hyperlink"/>
          <w:rFonts w:ascii="Times New Roman" w:hAnsi="Times New Roman" w:cs="Times New Roman"/>
          <w:sz w:val="24"/>
          <w:szCs w:val="24"/>
          <w:lang w:val="en-US"/>
        </w:rPr>
      </w:pPr>
      <w:hyperlink r:id="rId7" w:history="1">
        <w:r w:rsidR="003609AE" w:rsidRPr="003609AE">
          <w:rPr>
            <w:rStyle w:val="Hyperlink"/>
            <w:rFonts w:ascii="Times New Roman" w:hAnsi="Times New Roman" w:cs="Times New Roman"/>
            <w:sz w:val="24"/>
            <w:szCs w:val="24"/>
            <w:lang w:val="en-US"/>
          </w:rPr>
          <w:t>https://www.mondaq.com/india/litigation-contracts-and-force-majeure/930674/force-majeure-in-times-of-covid-19-challenges-and-the-road</w:t>
        </w:r>
      </w:hyperlink>
    </w:p>
    <w:p w14:paraId="5F096B62" w14:textId="12B7C844" w:rsidR="003609AE" w:rsidRPr="003609AE" w:rsidRDefault="00E173CD" w:rsidP="00983EC6">
      <w:pPr>
        <w:spacing w:line="360" w:lineRule="auto"/>
        <w:jc w:val="both"/>
        <w:rPr>
          <w:rStyle w:val="Hyperlink"/>
          <w:rFonts w:ascii="Times New Roman" w:hAnsi="Times New Roman" w:cs="Times New Roman"/>
          <w:sz w:val="24"/>
          <w:szCs w:val="24"/>
          <w:lang w:val="en-US"/>
        </w:rPr>
      </w:pPr>
      <w:hyperlink r:id="rId8" w:history="1">
        <w:r w:rsidR="003609AE" w:rsidRPr="003609AE">
          <w:rPr>
            <w:rStyle w:val="Hyperlink"/>
            <w:rFonts w:ascii="Times New Roman" w:hAnsi="Times New Roman" w:cs="Times New Roman"/>
            <w:sz w:val="24"/>
            <w:szCs w:val="24"/>
            <w:lang w:val="en-US"/>
          </w:rPr>
          <w:t>https://www.legal500.com/developments/thought-leadership/force-majeure-and-frustration-of-contracts-during-covid-19</w:t>
        </w:r>
      </w:hyperlink>
    </w:p>
    <w:p w14:paraId="2F8A941F" w14:textId="1D9052AE" w:rsidR="003609AE" w:rsidRPr="003609AE" w:rsidRDefault="00E173CD" w:rsidP="00983EC6">
      <w:pPr>
        <w:spacing w:line="360" w:lineRule="auto"/>
        <w:jc w:val="both"/>
        <w:rPr>
          <w:rStyle w:val="Hyperlink"/>
          <w:rFonts w:ascii="Times New Roman" w:hAnsi="Times New Roman" w:cs="Times New Roman"/>
          <w:sz w:val="24"/>
          <w:szCs w:val="24"/>
          <w:lang w:val="en-US"/>
        </w:rPr>
      </w:pPr>
      <w:hyperlink r:id="rId9" w:history="1">
        <w:r w:rsidR="003609AE" w:rsidRPr="003609AE">
          <w:rPr>
            <w:rStyle w:val="Hyperlink"/>
            <w:rFonts w:ascii="Times New Roman" w:hAnsi="Times New Roman" w:cs="Times New Roman"/>
            <w:sz w:val="24"/>
            <w:szCs w:val="24"/>
            <w:lang w:val="en-US"/>
          </w:rPr>
          <w:t>https://deliverypdf.ssrn.com</w:t>
        </w:r>
      </w:hyperlink>
    </w:p>
    <w:p w14:paraId="7DDCDA67" w14:textId="0E1B2E88" w:rsidR="003609AE" w:rsidRPr="003609AE" w:rsidRDefault="00E173CD" w:rsidP="00983EC6">
      <w:pPr>
        <w:spacing w:line="360" w:lineRule="auto"/>
        <w:jc w:val="both"/>
        <w:rPr>
          <w:rFonts w:ascii="Times New Roman" w:hAnsi="Times New Roman" w:cs="Times New Roman"/>
          <w:sz w:val="24"/>
          <w:szCs w:val="24"/>
          <w:lang w:val="en-US"/>
        </w:rPr>
      </w:pPr>
      <w:hyperlink r:id="rId10" w:history="1">
        <w:r w:rsidR="003609AE" w:rsidRPr="003609AE">
          <w:rPr>
            <w:rStyle w:val="Hyperlink"/>
            <w:rFonts w:ascii="Times New Roman" w:hAnsi="Times New Roman" w:cs="Times New Roman"/>
            <w:sz w:val="24"/>
            <w:szCs w:val="24"/>
            <w:lang w:val="en-US"/>
          </w:rPr>
          <w:t>https://www.clydeco.com/en/insights/2020/05/covid-19-india-a-curious-case-of-force-majeure</w:t>
        </w:r>
      </w:hyperlink>
    </w:p>
    <w:p w14:paraId="740A6AAF" w14:textId="77777777" w:rsidR="00092D50" w:rsidRPr="00092D50" w:rsidRDefault="00092D50" w:rsidP="004C2098">
      <w:pPr>
        <w:jc w:val="both"/>
        <w:rPr>
          <w:lang w:val="en-US"/>
        </w:rPr>
      </w:pPr>
    </w:p>
    <w:sectPr w:rsidR="00092D50" w:rsidRPr="00092D5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0F8B7B" w14:textId="77777777" w:rsidR="001B0E6D" w:rsidRDefault="001B0E6D" w:rsidP="001B0E6D">
      <w:pPr>
        <w:spacing w:after="0" w:line="240" w:lineRule="auto"/>
      </w:pPr>
      <w:r>
        <w:separator/>
      </w:r>
    </w:p>
  </w:endnote>
  <w:endnote w:type="continuationSeparator" w:id="0">
    <w:p w14:paraId="13290B8B" w14:textId="77777777" w:rsidR="001B0E6D" w:rsidRDefault="001B0E6D" w:rsidP="001B0E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B30F04" w14:textId="77777777" w:rsidR="001B0E6D" w:rsidRDefault="001B0E6D" w:rsidP="001B0E6D">
      <w:pPr>
        <w:spacing w:after="0" w:line="240" w:lineRule="auto"/>
      </w:pPr>
      <w:r>
        <w:separator/>
      </w:r>
    </w:p>
  </w:footnote>
  <w:footnote w:type="continuationSeparator" w:id="0">
    <w:p w14:paraId="06386B5D" w14:textId="77777777" w:rsidR="001B0E6D" w:rsidRDefault="001B0E6D" w:rsidP="001B0E6D">
      <w:pPr>
        <w:spacing w:after="0" w:line="240" w:lineRule="auto"/>
      </w:pPr>
      <w:r>
        <w:continuationSeparator/>
      </w:r>
    </w:p>
  </w:footnote>
  <w:footnote w:id="1">
    <w:p w14:paraId="02526003" w14:textId="6E4AF90C" w:rsidR="001B0E6D" w:rsidRPr="001B0E6D" w:rsidRDefault="001B0E6D">
      <w:pPr>
        <w:pStyle w:val="FootnoteText"/>
        <w:rPr>
          <w:lang w:val="en-US"/>
        </w:rPr>
      </w:pPr>
      <w:r>
        <w:rPr>
          <w:rStyle w:val="FootnoteReference"/>
        </w:rPr>
        <w:footnoteRef/>
      </w:r>
      <w:r>
        <w:t xml:space="preserve"> Definition of Force Majeure available at: </w:t>
      </w:r>
      <w:hyperlink r:id="rId1" w:history="1">
        <w:r w:rsidRPr="00A85150">
          <w:rPr>
            <w:rStyle w:val="Hyperlink"/>
            <w:lang w:val="en-US"/>
          </w:rPr>
          <w:t>https://www.mondaq.com/india/litigation-contracts-and-force-majeure/930674/force-majeure-in-times-of-covid-19-challenges-and-the-road</w:t>
        </w:r>
      </w:hyperlink>
      <w:r>
        <w:rPr>
          <w:lang w:val="en-US"/>
        </w:rPr>
        <w:t xml:space="preserve"> (Last visited on February 0</w:t>
      </w:r>
      <w:r w:rsidR="00522858">
        <w:rPr>
          <w:lang w:val="en-US"/>
        </w:rPr>
        <w:t>5</w:t>
      </w:r>
      <w:r>
        <w:rPr>
          <w:lang w:val="en-US"/>
        </w:rPr>
        <w:t xml:space="preserve">, 2022). </w:t>
      </w:r>
    </w:p>
  </w:footnote>
  <w:footnote w:id="2">
    <w:p w14:paraId="572CB41D" w14:textId="37FE045E" w:rsidR="006D212F" w:rsidRPr="006D212F" w:rsidRDefault="006D212F">
      <w:pPr>
        <w:pStyle w:val="FootnoteText"/>
        <w:rPr>
          <w:lang w:val="en-US"/>
        </w:rPr>
      </w:pPr>
      <w:r>
        <w:rPr>
          <w:rStyle w:val="FootnoteReference"/>
        </w:rPr>
        <w:footnoteRef/>
      </w:r>
      <w:r>
        <w:t xml:space="preserve"> </w:t>
      </w:r>
      <w:r>
        <w:rPr>
          <w:lang w:val="en-US"/>
        </w:rPr>
        <w:t xml:space="preserve">Available at: </w:t>
      </w:r>
      <w:hyperlink r:id="rId2" w:history="1">
        <w:r w:rsidRPr="00A85150">
          <w:rPr>
            <w:rStyle w:val="Hyperlink"/>
            <w:lang w:val="en-US"/>
          </w:rPr>
          <w:t>https://www.legal500.com/developments/thought-leadership/force-majeure-and-frustration-of-contracts-during-covid-19</w:t>
        </w:r>
      </w:hyperlink>
      <w:r>
        <w:rPr>
          <w:lang w:val="en-US"/>
        </w:rPr>
        <w:t xml:space="preserve"> </w:t>
      </w:r>
      <w:r w:rsidR="006C1442">
        <w:rPr>
          <w:lang w:val="en-US"/>
        </w:rPr>
        <w:t>(Last visited on February 0</w:t>
      </w:r>
      <w:r w:rsidR="00522858">
        <w:rPr>
          <w:lang w:val="en-US"/>
        </w:rPr>
        <w:t>5</w:t>
      </w:r>
      <w:r w:rsidR="006C1442">
        <w:rPr>
          <w:lang w:val="en-US"/>
        </w:rPr>
        <w:t xml:space="preserve">, 2022). </w:t>
      </w:r>
    </w:p>
  </w:footnote>
  <w:footnote w:id="3">
    <w:p w14:paraId="5E3BB8AE" w14:textId="7F6EA1DC" w:rsidR="00501802" w:rsidRPr="00501802" w:rsidRDefault="00501802">
      <w:pPr>
        <w:pStyle w:val="FootnoteText"/>
        <w:rPr>
          <w:lang w:val="en-US"/>
        </w:rPr>
      </w:pPr>
      <w:r>
        <w:rPr>
          <w:rStyle w:val="FootnoteReference"/>
        </w:rPr>
        <w:footnoteRef/>
      </w:r>
      <w:r>
        <w:t xml:space="preserve"> Available at- </w:t>
      </w:r>
      <w:hyperlink r:id="rId3" w:history="1">
        <w:r w:rsidRPr="006E3AF6">
          <w:rPr>
            <w:rStyle w:val="Hyperlink"/>
          </w:rPr>
          <w:t>https://www.legal500.com/developments/thought-leadership/force-majeure-and-frustration-of-contracts-during-covid-19/</w:t>
        </w:r>
      </w:hyperlink>
      <w:r>
        <w:t xml:space="preserve">  (</w:t>
      </w:r>
      <w:r w:rsidR="00522858">
        <w:t>last visited on February 0</w:t>
      </w:r>
      <w:r w:rsidR="004C2098">
        <w:t>7</w:t>
      </w:r>
      <w:r w:rsidR="00522858">
        <w:t>, 2022)</w:t>
      </w:r>
      <w:r w:rsidR="00A274F6">
        <w:t>.</w:t>
      </w:r>
    </w:p>
  </w:footnote>
  <w:footnote w:id="4">
    <w:p w14:paraId="2E46044B" w14:textId="25207777" w:rsidR="00522858" w:rsidRPr="00522858" w:rsidRDefault="00522858">
      <w:pPr>
        <w:pStyle w:val="FootnoteText"/>
        <w:rPr>
          <w:lang w:val="en-US"/>
        </w:rPr>
      </w:pPr>
      <w:r>
        <w:rPr>
          <w:rStyle w:val="FootnoteReference"/>
        </w:rPr>
        <w:footnoteRef/>
      </w:r>
      <w:r>
        <w:t xml:space="preserve"> </w:t>
      </w:r>
      <w:r>
        <w:rPr>
          <w:lang w:val="en-US"/>
        </w:rPr>
        <w:t xml:space="preserve">Available at- </w:t>
      </w:r>
      <w:hyperlink r:id="rId4" w:history="1">
        <w:r w:rsidR="00A274F6" w:rsidRPr="006E3AF6">
          <w:rPr>
            <w:rStyle w:val="Hyperlink"/>
            <w:lang w:val="en-US"/>
          </w:rPr>
          <w:t>https://deliverypdf.ssrn.com</w:t>
        </w:r>
      </w:hyperlink>
      <w:r w:rsidR="00A274F6">
        <w:rPr>
          <w:lang w:val="en-US"/>
        </w:rPr>
        <w:t xml:space="preserve"> </w:t>
      </w:r>
      <w:r w:rsidR="00105761">
        <w:rPr>
          <w:lang w:val="en-US"/>
        </w:rPr>
        <w:t>(Last visited on</w:t>
      </w:r>
      <w:r w:rsidR="00A274F6">
        <w:rPr>
          <w:lang w:val="en-US"/>
        </w:rPr>
        <w:t xml:space="preserve"> February</w:t>
      </w:r>
      <w:r w:rsidR="00105761">
        <w:rPr>
          <w:lang w:val="en-US"/>
        </w:rPr>
        <w:t xml:space="preserve"> 0</w:t>
      </w:r>
      <w:r w:rsidR="004C2098">
        <w:rPr>
          <w:lang w:val="en-US"/>
        </w:rPr>
        <w:t>7</w:t>
      </w:r>
      <w:r w:rsidR="00105761">
        <w:rPr>
          <w:lang w:val="en-US"/>
        </w:rPr>
        <w:t>,2022)</w:t>
      </w:r>
      <w:r w:rsidR="00A274F6">
        <w:rPr>
          <w:lang w:val="en-US"/>
        </w:rPr>
        <w:t>.</w:t>
      </w:r>
    </w:p>
  </w:footnote>
  <w:footnote w:id="5">
    <w:p w14:paraId="3A437D27" w14:textId="4AB49A91" w:rsidR="00A274F6" w:rsidRPr="00A274F6" w:rsidRDefault="00A274F6">
      <w:pPr>
        <w:pStyle w:val="FootnoteText"/>
        <w:rPr>
          <w:lang w:val="en-US"/>
        </w:rPr>
      </w:pPr>
      <w:r>
        <w:rPr>
          <w:rStyle w:val="FootnoteReference"/>
        </w:rPr>
        <w:footnoteRef/>
      </w:r>
      <w:r>
        <w:t xml:space="preserve"> </w:t>
      </w:r>
      <w:r>
        <w:rPr>
          <w:lang w:val="en-US"/>
        </w:rPr>
        <w:t>Available at-</w:t>
      </w:r>
      <w:r w:rsidRPr="00A274F6">
        <w:t xml:space="preserve"> </w:t>
      </w:r>
      <w:hyperlink r:id="rId5" w:history="1">
        <w:r w:rsidRPr="006E3AF6">
          <w:rPr>
            <w:rStyle w:val="Hyperlink"/>
            <w:lang w:val="en-US"/>
          </w:rPr>
          <w:t>https://deliverypdf.ssrn.com</w:t>
        </w:r>
      </w:hyperlink>
      <w:r>
        <w:rPr>
          <w:lang w:val="en-US"/>
        </w:rPr>
        <w:t xml:space="preserve"> (Last visited on February 0</w:t>
      </w:r>
      <w:r w:rsidR="004C2098">
        <w:rPr>
          <w:lang w:val="en-US"/>
        </w:rPr>
        <w:t>8</w:t>
      </w:r>
      <w:r>
        <w:rPr>
          <w:lang w:val="en-US"/>
        </w:rPr>
        <w:t xml:space="preserve">, 2022). </w:t>
      </w:r>
    </w:p>
  </w:footnote>
  <w:footnote w:id="6">
    <w:p w14:paraId="29204EC8" w14:textId="6C2A8EC0" w:rsidR="00092D50" w:rsidRPr="00092D50" w:rsidRDefault="00092D50">
      <w:pPr>
        <w:pStyle w:val="FootnoteText"/>
        <w:rPr>
          <w:lang w:val="en-US"/>
        </w:rPr>
      </w:pPr>
      <w:r>
        <w:rPr>
          <w:rStyle w:val="FootnoteReference"/>
        </w:rPr>
        <w:footnoteRef/>
      </w:r>
      <w:r>
        <w:t xml:space="preserve"> </w:t>
      </w:r>
      <w:r>
        <w:rPr>
          <w:lang w:val="en-US"/>
        </w:rPr>
        <w:t xml:space="preserve">Available at- </w:t>
      </w:r>
      <w:hyperlink r:id="rId6" w:history="1">
        <w:r w:rsidRPr="006E3AF6">
          <w:rPr>
            <w:rStyle w:val="Hyperlink"/>
            <w:lang w:val="en-US"/>
          </w:rPr>
          <w:t>https://www.clydeco.com/en/insights/2020/05/covid-19-india-a-curious-case-of-force-majeure</w:t>
        </w:r>
      </w:hyperlink>
      <w:r>
        <w:rPr>
          <w:lang w:val="en-US"/>
        </w:rPr>
        <w:t xml:space="preserve"> (Last visited on February 09, 2022). </w:t>
      </w:r>
    </w:p>
  </w:footnote>
  <w:footnote w:id="7">
    <w:p w14:paraId="14F6F7F5" w14:textId="2992D53E" w:rsidR="00092D50" w:rsidRPr="00092D50" w:rsidRDefault="00092D50">
      <w:pPr>
        <w:pStyle w:val="FootnoteText"/>
        <w:rPr>
          <w:lang w:val="en-US"/>
        </w:rPr>
      </w:pPr>
      <w:r>
        <w:rPr>
          <w:rStyle w:val="FootnoteReference"/>
        </w:rPr>
        <w:footnoteRef/>
      </w:r>
      <w:r>
        <w:t xml:space="preserve"> </w:t>
      </w:r>
      <w:r>
        <w:rPr>
          <w:lang w:val="en-US"/>
        </w:rPr>
        <w:t xml:space="preserve">Available at- </w:t>
      </w:r>
      <w:hyperlink r:id="rId7" w:history="1">
        <w:r w:rsidRPr="006E3AF6">
          <w:rPr>
            <w:rStyle w:val="Hyperlink"/>
            <w:lang w:val="en-US"/>
          </w:rPr>
          <w:t>https://www.clydeco.com/en/insights/2020/05/covid-19-india-a-curious-case-of-force-majeure</w:t>
        </w:r>
      </w:hyperlink>
      <w:r>
        <w:rPr>
          <w:lang w:val="en-US"/>
        </w:rPr>
        <w:t xml:space="preserve"> (Last visited on February 09, 2022.)</w:t>
      </w:r>
    </w:p>
  </w:footnote>
  <w:footnote w:id="8">
    <w:p w14:paraId="5CC3664E" w14:textId="77777777" w:rsidR="00092D50" w:rsidRPr="00092D50" w:rsidRDefault="00092D50" w:rsidP="00092D50">
      <w:pPr>
        <w:pStyle w:val="FootnoteText"/>
        <w:rPr>
          <w:lang w:val="en-US"/>
        </w:rPr>
      </w:pPr>
      <w:r>
        <w:rPr>
          <w:rStyle w:val="FootnoteReference"/>
        </w:rPr>
        <w:footnoteRef/>
      </w:r>
      <w:r>
        <w:t xml:space="preserve"> </w:t>
      </w:r>
      <w:r>
        <w:rPr>
          <w:lang w:val="en-US"/>
        </w:rPr>
        <w:t xml:space="preserve">Available at- </w:t>
      </w:r>
      <w:hyperlink r:id="rId8" w:history="1">
        <w:r w:rsidRPr="006E3AF6">
          <w:rPr>
            <w:rStyle w:val="Hyperlink"/>
            <w:lang w:val="en-US"/>
          </w:rPr>
          <w:t>https://www.clydeco.com/en/insights/2020/05/covid-19-india-a-curious-case-of-force-majeure</w:t>
        </w:r>
      </w:hyperlink>
      <w:r>
        <w:rPr>
          <w:lang w:val="en-US"/>
        </w:rPr>
        <w:t xml:space="preserve"> (Last visited on February 09, 2022.)</w:t>
      </w:r>
    </w:p>
    <w:p w14:paraId="4ED0A7AE" w14:textId="4F38B8B1" w:rsidR="00092D50" w:rsidRPr="00092D50" w:rsidRDefault="00092D50">
      <w:pPr>
        <w:pStyle w:val="FootnoteText"/>
        <w:rPr>
          <w:lang w:val="en-US"/>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85D23DB"/>
    <w:multiLevelType w:val="hybridMultilevel"/>
    <w:tmpl w:val="6D4C791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1266"/>
    <w:rsid w:val="00092D50"/>
    <w:rsid w:val="000B4CD9"/>
    <w:rsid w:val="000F1266"/>
    <w:rsid w:val="00105761"/>
    <w:rsid w:val="001B0E6D"/>
    <w:rsid w:val="001B4407"/>
    <w:rsid w:val="002A36CE"/>
    <w:rsid w:val="003609AE"/>
    <w:rsid w:val="003813C7"/>
    <w:rsid w:val="00460E0F"/>
    <w:rsid w:val="004C2098"/>
    <w:rsid w:val="00501802"/>
    <w:rsid w:val="00522858"/>
    <w:rsid w:val="006C1442"/>
    <w:rsid w:val="006D212F"/>
    <w:rsid w:val="0076723D"/>
    <w:rsid w:val="00874B99"/>
    <w:rsid w:val="00983EC6"/>
    <w:rsid w:val="009E1CF7"/>
    <w:rsid w:val="00A274F6"/>
    <w:rsid w:val="00A97BA5"/>
    <w:rsid w:val="00D56391"/>
    <w:rsid w:val="00E173CD"/>
    <w:rsid w:val="00EC2D0E"/>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780CF3"/>
  <w15:chartTrackingRefBased/>
  <w15:docId w15:val="{BDDE5BB9-7FFA-454E-AF62-6ADCE99B4C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1B0E6D"/>
    <w:pPr>
      <w:spacing w:after="0" w:line="240" w:lineRule="auto"/>
    </w:pPr>
    <w:rPr>
      <w:sz w:val="20"/>
      <w:szCs w:val="18"/>
    </w:rPr>
  </w:style>
  <w:style w:type="character" w:customStyle="1" w:styleId="FootnoteTextChar">
    <w:name w:val="Footnote Text Char"/>
    <w:basedOn w:val="DefaultParagraphFont"/>
    <w:link w:val="FootnoteText"/>
    <w:uiPriority w:val="99"/>
    <w:semiHidden/>
    <w:rsid w:val="001B0E6D"/>
    <w:rPr>
      <w:sz w:val="20"/>
      <w:szCs w:val="18"/>
    </w:rPr>
  </w:style>
  <w:style w:type="character" w:styleId="FootnoteReference">
    <w:name w:val="footnote reference"/>
    <w:basedOn w:val="DefaultParagraphFont"/>
    <w:uiPriority w:val="99"/>
    <w:semiHidden/>
    <w:unhideWhenUsed/>
    <w:rsid w:val="001B0E6D"/>
    <w:rPr>
      <w:vertAlign w:val="superscript"/>
    </w:rPr>
  </w:style>
  <w:style w:type="character" w:styleId="Hyperlink">
    <w:name w:val="Hyperlink"/>
    <w:basedOn w:val="DefaultParagraphFont"/>
    <w:uiPriority w:val="99"/>
    <w:unhideWhenUsed/>
    <w:rsid w:val="001B0E6D"/>
    <w:rPr>
      <w:color w:val="0563C1" w:themeColor="hyperlink"/>
      <w:u w:val="single"/>
    </w:rPr>
  </w:style>
  <w:style w:type="character" w:styleId="UnresolvedMention">
    <w:name w:val="Unresolved Mention"/>
    <w:basedOn w:val="DefaultParagraphFont"/>
    <w:uiPriority w:val="99"/>
    <w:semiHidden/>
    <w:unhideWhenUsed/>
    <w:rsid w:val="001B0E6D"/>
    <w:rPr>
      <w:color w:val="605E5C"/>
      <w:shd w:val="clear" w:color="auto" w:fill="E1DFDD"/>
    </w:rPr>
  </w:style>
  <w:style w:type="paragraph" w:styleId="ListParagraph">
    <w:name w:val="List Paragraph"/>
    <w:basedOn w:val="Normal"/>
    <w:uiPriority w:val="34"/>
    <w:qFormat/>
    <w:rsid w:val="00D56391"/>
    <w:pPr>
      <w:ind w:left="720"/>
      <w:contextualSpacing/>
    </w:pPr>
  </w:style>
  <w:style w:type="paragraph" w:styleId="BodyText">
    <w:name w:val="Body Text"/>
    <w:basedOn w:val="Normal"/>
    <w:link w:val="BodyTextChar"/>
    <w:uiPriority w:val="1"/>
    <w:qFormat/>
    <w:rsid w:val="00092D50"/>
    <w:pPr>
      <w:widowControl w:val="0"/>
      <w:autoSpaceDE w:val="0"/>
      <w:autoSpaceDN w:val="0"/>
      <w:spacing w:after="0" w:line="240" w:lineRule="auto"/>
    </w:pPr>
    <w:rPr>
      <w:rFonts w:ascii="Times New Roman" w:eastAsia="Times New Roman" w:hAnsi="Times New Roman" w:cs="Times New Roman"/>
      <w:sz w:val="24"/>
      <w:szCs w:val="24"/>
      <w:lang w:val="en-US" w:bidi="ar-SA"/>
    </w:rPr>
  </w:style>
  <w:style w:type="character" w:customStyle="1" w:styleId="BodyTextChar">
    <w:name w:val="Body Text Char"/>
    <w:basedOn w:val="DefaultParagraphFont"/>
    <w:link w:val="BodyText"/>
    <w:uiPriority w:val="1"/>
    <w:rsid w:val="00092D50"/>
    <w:rPr>
      <w:rFonts w:ascii="Times New Roman" w:eastAsia="Times New Roman" w:hAnsi="Times New Roman" w:cs="Times New Roman"/>
      <w:sz w:val="24"/>
      <w:szCs w:val="24"/>
      <w:lang w:val="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egal500.com/developments/thought-leadership/force-majeure-and-frustration-of-contracts-during-covid-19" TargetMode="External"/><Relationship Id="rId3" Type="http://schemas.openxmlformats.org/officeDocument/2006/relationships/settings" Target="settings.xml"/><Relationship Id="rId7" Type="http://schemas.openxmlformats.org/officeDocument/2006/relationships/hyperlink" Target="https://www.mondaq.com/india/litigation-contracts-and-force-majeure/930674/force-majeure-in-times-of-covid-19-challenges-and-the-road"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www.clydeco.com/en/insights/2020/05/covid-19-india-a-curious-case-of-force-majeure" TargetMode="External"/><Relationship Id="rId4" Type="http://schemas.openxmlformats.org/officeDocument/2006/relationships/webSettings" Target="webSettings.xml"/><Relationship Id="rId9" Type="http://schemas.openxmlformats.org/officeDocument/2006/relationships/hyperlink" Target="https://deliverypdf.ssrn.com"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www.clydeco.com/en/insights/2020/05/covid-19-india-a-curious-case-of-force-majeure" TargetMode="External"/><Relationship Id="rId3" Type="http://schemas.openxmlformats.org/officeDocument/2006/relationships/hyperlink" Target="https://www.legal500.com/developments/thought-leadership/force-majeure-and-frustration-of-contracts-during-covid-19/" TargetMode="External"/><Relationship Id="rId7" Type="http://schemas.openxmlformats.org/officeDocument/2006/relationships/hyperlink" Target="https://www.clydeco.com/en/insights/2020/05/covid-19-india-a-curious-case-of-force-majeure" TargetMode="External"/><Relationship Id="rId2" Type="http://schemas.openxmlformats.org/officeDocument/2006/relationships/hyperlink" Target="https://www.legal500.com/developments/thought-leadership/force-majeure-and-frustration-of-contracts-during-covid-19" TargetMode="External"/><Relationship Id="rId1" Type="http://schemas.openxmlformats.org/officeDocument/2006/relationships/hyperlink" Target="https://www.mondaq.com/india/litigation-contracts-and-force-majeure/930674/force-majeure-in-times-of-covid-19-challenges-and-the-road" TargetMode="External"/><Relationship Id="rId6" Type="http://schemas.openxmlformats.org/officeDocument/2006/relationships/hyperlink" Target="https://www.clydeco.com/en/insights/2020/05/covid-19-india-a-curious-case-of-force-majeure" TargetMode="External"/><Relationship Id="rId5" Type="http://schemas.openxmlformats.org/officeDocument/2006/relationships/hyperlink" Target="https://deliverypdf.ssrn.com" TargetMode="External"/><Relationship Id="rId4" Type="http://schemas.openxmlformats.org/officeDocument/2006/relationships/hyperlink" Target="https://deliverypdf.ssrn.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136</TotalTime>
  <Pages>10</Pages>
  <Words>2524</Words>
  <Characters>14393</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ishanee kapoor</dc:creator>
  <cp:keywords/>
  <dc:description/>
  <cp:lastModifiedBy>ishanee kapoor</cp:lastModifiedBy>
  <cp:revision>7</cp:revision>
  <dcterms:created xsi:type="dcterms:W3CDTF">2022-02-10T18:21:00Z</dcterms:created>
  <dcterms:modified xsi:type="dcterms:W3CDTF">2022-02-20T16:26:00Z</dcterms:modified>
</cp:coreProperties>
</file>