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654" w:rsidRPr="00EF2654" w:rsidRDefault="00EF2654" w:rsidP="00EF2654">
      <w:pPr>
        <w:spacing w:line="360" w:lineRule="auto"/>
        <w:jc w:val="center"/>
        <w:rPr>
          <w:rFonts w:ascii="Times New Roman" w:hAnsi="Times New Roman" w:cs="Times New Roman"/>
          <w:b/>
          <w:sz w:val="24"/>
          <w:szCs w:val="24"/>
        </w:rPr>
      </w:pPr>
      <w:r w:rsidRPr="00EF2654">
        <w:rPr>
          <w:rFonts w:ascii="Times New Roman" w:hAnsi="Times New Roman" w:cs="Times New Roman"/>
          <w:b/>
          <w:sz w:val="24"/>
          <w:szCs w:val="24"/>
        </w:rPr>
        <w:t>STATUS OF MARITAL RAPE IN INDIA</w:t>
      </w:r>
    </w:p>
    <w:p w:rsidR="00744C5B" w:rsidRPr="00EF2654" w:rsidRDefault="00B66B87"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Marital Rape, quite a baffling concept for the Patriarchal India.</w:t>
      </w:r>
      <w:r w:rsidR="00744C5B" w:rsidRPr="00EF2654">
        <w:rPr>
          <w:rFonts w:ascii="Times New Roman" w:hAnsi="Times New Roman" w:cs="Times New Roman"/>
          <w:sz w:val="24"/>
          <w:szCs w:val="24"/>
        </w:rPr>
        <w:t xml:space="preserve"> Rape is the illicit intercourse of a person without his/her consent, whether owing to bodily desire or hazards, or due to the perpetuator's dishonest display. </w:t>
      </w:r>
      <w:r w:rsidR="005F2780" w:rsidRPr="00EF2654">
        <w:rPr>
          <w:rFonts w:ascii="Times New Roman" w:hAnsi="Times New Roman" w:cs="Times New Roman"/>
          <w:sz w:val="24"/>
          <w:szCs w:val="24"/>
        </w:rPr>
        <w:t>In India, rape by a foreigner is criminal under Indian Penal Code sections 375 and 376. Surprisingly, it specifically exempts marital rape from criminal culpability. When a spouse has intercourse with his better half without her permission or under coercion, this is known as marital rape.</w:t>
      </w:r>
    </w:p>
    <w:p w:rsidR="00DB57F7" w:rsidRDefault="00744C5B"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The patriarchal system that governs Indian households has always seen women as the property of their significant others or guardians.</w:t>
      </w:r>
      <w:r w:rsidR="005F2780" w:rsidRPr="00EF2654">
        <w:rPr>
          <w:rFonts w:ascii="Times New Roman" w:hAnsi="Times New Roman" w:cs="Times New Roman"/>
          <w:sz w:val="24"/>
          <w:szCs w:val="24"/>
        </w:rPr>
        <w:t xml:space="preserve"> As a result, rape was viewed as both a robbery of a woman's property and a crime against a spouse or guardian</w:t>
      </w:r>
      <w:r w:rsidRPr="00EF2654">
        <w:rPr>
          <w:rFonts w:ascii="Times New Roman" w:hAnsi="Times New Roman" w:cs="Times New Roman"/>
          <w:sz w:val="24"/>
          <w:szCs w:val="24"/>
        </w:rPr>
        <w:t>.</w:t>
      </w:r>
      <w:r w:rsidR="00B66B87" w:rsidRPr="00EF2654">
        <w:rPr>
          <w:rFonts w:ascii="Times New Roman" w:hAnsi="Times New Roman" w:cs="Times New Roman"/>
          <w:sz w:val="24"/>
          <w:szCs w:val="24"/>
        </w:rPr>
        <w:t xml:space="preserve"> While countries like Soviet Union have criminalized marital rape decades ago in 1922, our government is still stuck to the point that our society hasn’t yet been developed enough to accept and understand the notion of marital rape. </w:t>
      </w:r>
      <w:r w:rsidRPr="00EF2654">
        <w:rPr>
          <w:rFonts w:ascii="Times New Roman" w:hAnsi="Times New Roman" w:cs="Times New Roman"/>
          <w:sz w:val="24"/>
          <w:szCs w:val="24"/>
        </w:rPr>
        <w:t>Today, more than 100 nations have passed laws against marital rape, yet India is one of just 36 countries where the crime remains unpunished.</w:t>
      </w:r>
      <w:r w:rsidR="00D57218" w:rsidRPr="00EF2654">
        <w:rPr>
          <w:rFonts w:ascii="Times New Roman" w:hAnsi="Times New Roman" w:cs="Times New Roman"/>
          <w:sz w:val="24"/>
          <w:szCs w:val="24"/>
        </w:rPr>
        <w:t xml:space="preserve"> Since the late twentieth century, most nations have made marital</w:t>
      </w:r>
      <w:r w:rsidR="00843EAA" w:rsidRPr="00EF2654">
        <w:rPr>
          <w:rFonts w:ascii="Times New Roman" w:hAnsi="Times New Roman" w:cs="Times New Roman"/>
          <w:sz w:val="24"/>
          <w:szCs w:val="24"/>
        </w:rPr>
        <w:t xml:space="preserve"> rape illegal.</w:t>
      </w:r>
      <w:r w:rsidR="00D57218" w:rsidRPr="00EF2654">
        <w:rPr>
          <w:rFonts w:ascii="Times New Roman" w:hAnsi="Times New Roman" w:cs="Times New Roman"/>
          <w:sz w:val="24"/>
          <w:szCs w:val="24"/>
        </w:rPr>
        <w:t xml:space="preserve"> </w:t>
      </w:r>
    </w:p>
    <w:p w:rsidR="004540C4" w:rsidRPr="00EF2654" w:rsidRDefault="00D57218"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Australia, Belgium, Canada, China, Denmark, France, Germany, Hong Ko</w:t>
      </w:r>
      <w:r w:rsidR="00843EAA" w:rsidRPr="00EF2654">
        <w:rPr>
          <w:rFonts w:ascii="Times New Roman" w:hAnsi="Times New Roman" w:cs="Times New Roman"/>
          <w:sz w:val="24"/>
          <w:szCs w:val="24"/>
        </w:rPr>
        <w:t xml:space="preserve">ng, Ireland, Italy, Japan, </w:t>
      </w:r>
      <w:r w:rsidRPr="00EF2654">
        <w:rPr>
          <w:rFonts w:ascii="Times New Roman" w:hAnsi="Times New Roman" w:cs="Times New Roman"/>
          <w:sz w:val="24"/>
          <w:szCs w:val="24"/>
        </w:rPr>
        <w:t>Norway, Philippines, Scotland, South Africa, Sweden, Taiwan, Tunisia, United Kingdom, United States, I</w:t>
      </w:r>
      <w:r w:rsidR="00843EAA" w:rsidRPr="00EF2654">
        <w:rPr>
          <w:rFonts w:ascii="Times New Roman" w:hAnsi="Times New Roman" w:cs="Times New Roman"/>
          <w:sz w:val="24"/>
          <w:szCs w:val="24"/>
        </w:rPr>
        <w:t>ndonesia, Turkey,</w:t>
      </w:r>
      <w:r w:rsidRPr="00EF2654">
        <w:rPr>
          <w:rFonts w:ascii="Times New Roman" w:hAnsi="Times New Roman" w:cs="Times New Roman"/>
          <w:sz w:val="24"/>
          <w:szCs w:val="24"/>
        </w:rPr>
        <w:t xml:space="preserve"> Thailand</w:t>
      </w:r>
      <w:r w:rsidR="00843EAA" w:rsidRPr="00EF2654">
        <w:rPr>
          <w:rFonts w:ascii="Times New Roman" w:hAnsi="Times New Roman" w:cs="Times New Roman"/>
          <w:sz w:val="24"/>
          <w:szCs w:val="24"/>
        </w:rPr>
        <w:t xml:space="preserve"> and many other nations</w:t>
      </w:r>
      <w:r w:rsidRPr="00EF2654">
        <w:rPr>
          <w:rFonts w:ascii="Times New Roman" w:hAnsi="Times New Roman" w:cs="Times New Roman"/>
          <w:sz w:val="24"/>
          <w:szCs w:val="24"/>
        </w:rPr>
        <w:t xml:space="preserve"> have all made it illegal to rape a spouse. These nations have passed laws making marital rape a crime. However, it is not a crime in India because we definitely are stuck on the male supremacy to a point where men</w:t>
      </w:r>
      <w:r w:rsidR="0086244A" w:rsidRPr="00EF2654">
        <w:rPr>
          <w:rFonts w:ascii="Times New Roman" w:hAnsi="Times New Roman" w:cs="Times New Roman"/>
          <w:sz w:val="24"/>
          <w:szCs w:val="24"/>
        </w:rPr>
        <w:t xml:space="preserve"> start strikes and protest as soon as the talks of criminalizing it starts.</w:t>
      </w:r>
      <w:r w:rsidR="004540C4" w:rsidRPr="00EF2654">
        <w:rPr>
          <w:rFonts w:ascii="Times New Roman" w:hAnsi="Times New Roman" w:cs="Times New Roman"/>
          <w:sz w:val="24"/>
          <w:szCs w:val="24"/>
        </w:rPr>
        <w:t xml:space="preserve"> Marital rape can occur for a variety of reasons, including a husband's sexual perversion, a desire to establish men's supremacy over women, petty domestic concerns, </w:t>
      </w:r>
      <w:proofErr w:type="gramStart"/>
      <w:r w:rsidR="004540C4" w:rsidRPr="00EF2654">
        <w:rPr>
          <w:rFonts w:ascii="Times New Roman" w:hAnsi="Times New Roman" w:cs="Times New Roman"/>
          <w:sz w:val="24"/>
          <w:szCs w:val="24"/>
        </w:rPr>
        <w:t>a</w:t>
      </w:r>
      <w:proofErr w:type="gramEnd"/>
      <w:r w:rsidR="004540C4" w:rsidRPr="00EF2654">
        <w:rPr>
          <w:rFonts w:ascii="Times New Roman" w:hAnsi="Times New Roman" w:cs="Times New Roman"/>
          <w:sz w:val="24"/>
          <w:szCs w:val="24"/>
        </w:rPr>
        <w:t xml:space="preserve"> woman's attempt to enforce her rights in a marital relationship, and so on.</w:t>
      </w:r>
    </w:p>
    <w:p w:rsidR="00843EAA" w:rsidRPr="00EF2654" w:rsidRDefault="00843EAA"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 xml:space="preserve">The United Nations has acknowledged that violence against women is a barrier to obtaining development status. Thus, the United Nations produced a proclamation on the "Elimination of Violence against Women" in its 48/104 resolution of December 20, 1993, declared by the General Assembly, which included specific regulations against violence against women, including marital rape. Violence against women, according to Article 1, is defined as any act that causes bodily, sexual, or psychological harm to a woman in a public place or in her private life. In private life, the spouse may be a primary source of sexual agony, which is referred to as marital rape when it </w:t>
      </w:r>
      <w:r w:rsidRPr="00EF2654">
        <w:rPr>
          <w:rFonts w:ascii="Times New Roman" w:hAnsi="Times New Roman" w:cs="Times New Roman"/>
          <w:sz w:val="24"/>
          <w:szCs w:val="24"/>
        </w:rPr>
        <w:lastRenderedPageBreak/>
        <w:t>occurs without consent. Marital rape is specifically included in Article 2(a) as a form of aggression against women, along with other crimes. By enacting these measures, the UN recommends that all of its members make offences against women's dignity illegal. Aside from its overall contents, Article 6 clarifies that this proclamation would not change any state legislation currently in place to combat violence against women.</w:t>
      </w:r>
    </w:p>
    <w:p w:rsidR="00FD65A0" w:rsidRPr="00EF2654" w:rsidRDefault="005F2780"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 xml:space="preserve">Women have long been seen as the weaker sex, and their full rights have been denied to them. </w:t>
      </w:r>
      <w:r w:rsidR="00FD65A0" w:rsidRPr="00EF2654">
        <w:rPr>
          <w:rFonts w:ascii="Times New Roman" w:hAnsi="Times New Roman" w:cs="Times New Roman"/>
          <w:sz w:val="24"/>
          <w:szCs w:val="24"/>
        </w:rPr>
        <w:t>Women were finally deemed equal to men in all respects after many fights, but the culture that originated in the past still places women in a disadvantaged position. Women used to be considered exclusively for childbearing and family maintenance in the past, but now they have the right to participate in all disciplines. No woman can be refused advantages only because she is a woman, and no man can be given complete control over all he gains solely because he is a male.</w:t>
      </w:r>
    </w:p>
    <w:p w:rsidR="00DB57F7" w:rsidRDefault="004540C4"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Thus, the fundamental cause of this marital threat is the widespread gender disparity that exists in our culture. It's another facet of our patriarchal and male-dominated societal standards, in which married and unmarried women are denied equal rights in every manner. It is just another tool in man's arsenal for exploiting and subjugating women.</w:t>
      </w:r>
      <w:r w:rsidR="00207212" w:rsidRPr="00EF2654">
        <w:rPr>
          <w:rFonts w:ascii="Times New Roman" w:hAnsi="Times New Roman" w:cs="Times New Roman"/>
          <w:sz w:val="24"/>
          <w:szCs w:val="24"/>
        </w:rPr>
        <w:t xml:space="preserve"> One of the causes is the customary position that married women have in our culture. The role of married women is described by society as </w:t>
      </w:r>
      <w:proofErr w:type="spellStart"/>
      <w:r w:rsidR="00207212" w:rsidRPr="00EF2654">
        <w:rPr>
          <w:rFonts w:ascii="Times New Roman" w:hAnsi="Times New Roman" w:cs="Times New Roman"/>
          <w:sz w:val="24"/>
          <w:szCs w:val="24"/>
        </w:rPr>
        <w:t>pati-vratastri</w:t>
      </w:r>
      <w:proofErr w:type="spellEnd"/>
      <w:r w:rsidR="00207212" w:rsidRPr="00EF2654">
        <w:rPr>
          <w:rFonts w:ascii="Times New Roman" w:hAnsi="Times New Roman" w:cs="Times New Roman"/>
          <w:sz w:val="24"/>
          <w:szCs w:val="24"/>
        </w:rPr>
        <w:t>, which means "pure, faithful, and obedient."</w:t>
      </w:r>
    </w:p>
    <w:p w:rsidR="00FD65A0" w:rsidRPr="00EF2654" w:rsidRDefault="00207212"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 xml:space="preserve"> As a result, a married woman is expected to obey her husband's instructions to the letter and to satisfy all of his demands without hesitation. As a result, the concept of a "good wife" is solely beneficial to males. A married woman's sexual connection is regarded a vital element of her obligation to her husband, and she is not supposed to refuse it to him. Her role must be one of surrender and submission. One of the reasons that married women are unable to protect themselves from marital rape and are forced to tolerate the abuse is their economic dependency on their husbands and in-laws. Another cause is the lack of legal laws that recognise marital rape as a crime, which encourages the husband to continue his behaviour while leaving the woman with little recourse.</w:t>
      </w:r>
      <w:r w:rsidR="00FD65A0" w:rsidRPr="00EF2654">
        <w:rPr>
          <w:rFonts w:ascii="Times New Roman" w:hAnsi="Times New Roman" w:cs="Times New Roman"/>
          <w:sz w:val="24"/>
          <w:szCs w:val="24"/>
        </w:rPr>
        <w:t xml:space="preserve"> </w:t>
      </w:r>
    </w:p>
    <w:p w:rsidR="00FD65A0" w:rsidRPr="00EF2654" w:rsidRDefault="00FD65A0"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"My rapist doesn't even know he raped me because the system informed him he didn't," as one commentator put it. Women's personal sentiments are ignored by a society that still believes in the system.</w:t>
      </w:r>
    </w:p>
    <w:p w:rsidR="00D57218" w:rsidRPr="00EF2654" w:rsidRDefault="009E26DB"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lastRenderedPageBreak/>
        <w:t>The IPC defines rape as a crime under section 375</w:t>
      </w:r>
      <w:r w:rsidR="00D57218" w:rsidRPr="00EF2654">
        <w:rPr>
          <w:rFonts w:ascii="Times New Roman" w:hAnsi="Times New Roman" w:cs="Times New Roman"/>
          <w:sz w:val="24"/>
          <w:szCs w:val="24"/>
        </w:rPr>
        <w:t>. It lays forth the acts that will be constituted rape, as well as the circumstances that must be met in order for such acts to be declared rape. However, the definition does not consider forcible intercourse between a husband and his wife to be rape. In other words, Section 375 does not apply to marital rape.</w:t>
      </w:r>
    </w:p>
    <w:p w:rsidR="00843D83" w:rsidRDefault="00D57218"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One of the clauses (section 375, sixth paragraph) states that sexual intercourse between a male and a girl under the age of 18 is rape, whether with or without her agreement.</w:t>
      </w:r>
      <w:r w:rsidR="009E26DB" w:rsidRPr="00EF2654">
        <w:rPr>
          <w:rFonts w:ascii="Times New Roman" w:hAnsi="Times New Roman" w:cs="Times New Roman"/>
          <w:sz w:val="24"/>
          <w:szCs w:val="24"/>
        </w:rPr>
        <w:t xml:space="preserve"> However, it is specified in the same sentence that sexual intercourse between a husband and his own wife who is not under the age of 15 is not considered rape (as per the Exception connected to Section 375)</w:t>
      </w:r>
      <w:r w:rsidRPr="00EF2654">
        <w:rPr>
          <w:rFonts w:ascii="Times New Roman" w:hAnsi="Times New Roman" w:cs="Times New Roman"/>
          <w:sz w:val="24"/>
          <w:szCs w:val="24"/>
        </w:rPr>
        <w:t xml:space="preserve">. Thus, if a girl is married and her husband conducts a forcible sexual act against her, it is not rape, even if she is under the age of 18 but not under the age of 15. </w:t>
      </w:r>
    </w:p>
    <w:p w:rsidR="00D57218" w:rsidRPr="00EF2654" w:rsidRDefault="00D57218"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 xml:space="preserve">But, marriage of girl under age of 18 is a criminal offence leading to make this exception at this point absolutely absurd. But again, the irony or double standard in law is clear here: there is no recourse for a married woman beyond the age of 15 who is subjected to her husband's sexual perversion. This rule is extremely unfair to married women since it allows perverted spouses to continue their unlawful behaviour. It also gives the woman no recourse </w:t>
      </w:r>
      <w:r w:rsidR="00FD65A0" w:rsidRPr="00EF2654">
        <w:rPr>
          <w:rFonts w:ascii="Times New Roman" w:hAnsi="Times New Roman" w:cs="Times New Roman"/>
          <w:sz w:val="24"/>
          <w:szCs w:val="24"/>
        </w:rPr>
        <w:t>if she is beyond the age of 15.</w:t>
      </w:r>
      <w:r w:rsidR="00843D83">
        <w:rPr>
          <w:rFonts w:ascii="Times New Roman" w:hAnsi="Times New Roman" w:cs="Times New Roman"/>
          <w:sz w:val="24"/>
          <w:szCs w:val="24"/>
        </w:rPr>
        <w:t xml:space="preserve"> </w:t>
      </w:r>
      <w:bookmarkStart w:id="0" w:name="_GoBack"/>
      <w:bookmarkEnd w:id="0"/>
      <w:r w:rsidRPr="00EF2654">
        <w:rPr>
          <w:rFonts w:ascii="Times New Roman" w:hAnsi="Times New Roman" w:cs="Times New Roman"/>
          <w:sz w:val="24"/>
          <w:szCs w:val="24"/>
        </w:rPr>
        <w:t>Furthermore, the designation of a sexual connection as rape in the case of a wife under the age of 15 is not because the law believes it to be marital rape, but rather because of the wife's age.</w:t>
      </w:r>
    </w:p>
    <w:p w:rsidR="00D57218" w:rsidRPr="00EF2654" w:rsidRDefault="00D57218"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As a result, the IPC does not recognise marital rape at all. Even the much-discussed recent criminal law change, the Criminal Law Amendment Act of 2013, included no mention of marital rape. Furthermore, under Section 376B, sexual intercourse by a man with his own wife without her agreement during judicial separation is a crime punishable by up to two years in jail and a fine. However, the clause does not recognise the alleged act as rape in this case. In this situation, the married couple is living apart due to a court separation decision. As a result, no mention of marital rape was made.</w:t>
      </w:r>
    </w:p>
    <w:p w:rsidR="00843EAA" w:rsidRPr="00EF2654" w:rsidRDefault="00843EAA"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The subject of marital rape was first addressed in the 42nd Law Commission</w:t>
      </w:r>
      <w:r w:rsidR="004E1DA8" w:rsidRPr="00EF2654">
        <w:rPr>
          <w:rStyle w:val="FootnoteReference"/>
          <w:rFonts w:ascii="Times New Roman" w:hAnsi="Times New Roman" w:cs="Times New Roman"/>
          <w:sz w:val="24"/>
          <w:szCs w:val="24"/>
        </w:rPr>
        <w:footnoteReference w:id="1"/>
      </w:r>
      <w:r w:rsidRPr="00EF2654">
        <w:rPr>
          <w:rFonts w:ascii="Times New Roman" w:hAnsi="Times New Roman" w:cs="Times New Roman"/>
          <w:sz w:val="24"/>
          <w:szCs w:val="24"/>
        </w:rPr>
        <w:t xml:space="preserve"> report. Regarding marital rape, the study provided two recommendations. The initial idea was that the exclusion clause should not apply when the husband and wife are legally separated. Although this was a solid idea, the justification offered for making it was insufficient. It was said that as long as the husband </w:t>
      </w:r>
      <w:r w:rsidRPr="00EF2654">
        <w:rPr>
          <w:rFonts w:ascii="Times New Roman" w:hAnsi="Times New Roman" w:cs="Times New Roman"/>
          <w:sz w:val="24"/>
          <w:szCs w:val="24"/>
        </w:rPr>
        <w:lastRenderedPageBreak/>
        <w:t>supports his wife, sexual intercourse without her permission or will does not constitute rape. This isn't a true explanation. The first option aims to emphasise that permission is only necessary when a married couple lives apart from one another, not when they live together. The legitimacy of the exceptional clause is clearly addressed in the 172nd law commission</w:t>
      </w:r>
      <w:r w:rsidR="004E1DA8" w:rsidRPr="00EF2654">
        <w:rPr>
          <w:rStyle w:val="FootnoteReference"/>
          <w:rFonts w:ascii="Times New Roman" w:hAnsi="Times New Roman" w:cs="Times New Roman"/>
          <w:sz w:val="24"/>
          <w:szCs w:val="24"/>
        </w:rPr>
        <w:footnoteReference w:id="2"/>
      </w:r>
      <w:r w:rsidRPr="00EF2654">
        <w:rPr>
          <w:rFonts w:ascii="Times New Roman" w:hAnsi="Times New Roman" w:cs="Times New Roman"/>
          <w:sz w:val="24"/>
          <w:szCs w:val="24"/>
        </w:rPr>
        <w:t xml:space="preserve"> report. The legitimacy of the exceptional clause was contested in this report. When a husband's aggression towards his wife is considered a crime in other situations, why not rape? Such arguments were rejected by the law commission because they would result in "excessive meddling with the question of marriage." Even the Parliamentary Committee on Home Affairs notes in its 167th report that the family would resolve and care for its concerns. As a result, marital rape is the subject of several potential conversations.</w:t>
      </w:r>
    </w:p>
    <w:p w:rsidR="00E7552F" w:rsidRPr="00EF2654" w:rsidRDefault="00E7552F"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The Delhi High Court declared in the Harvinder Kaur vs. Harmander Singh</w:t>
      </w:r>
      <w:r w:rsidRPr="00EF2654">
        <w:rPr>
          <w:rStyle w:val="FootnoteReference"/>
          <w:rFonts w:ascii="Times New Roman" w:hAnsi="Times New Roman" w:cs="Times New Roman"/>
          <w:sz w:val="24"/>
          <w:szCs w:val="24"/>
        </w:rPr>
        <w:footnoteReference w:id="3"/>
      </w:r>
      <w:r w:rsidRPr="00EF2654">
        <w:rPr>
          <w:rFonts w:ascii="Times New Roman" w:hAnsi="Times New Roman" w:cs="Times New Roman"/>
          <w:sz w:val="24"/>
          <w:szCs w:val="24"/>
        </w:rPr>
        <w:t>, that the Constitution could not meddle in a family because it would undermine the institution of marriage. "Neither Article 21 [No person shall be deprived of his life or personal liberty except according to a procedure established by law] nor Article 14 [The State shall not deny to any person equality before the law or the equal protection of the laws within the territory of India] have any place in the privacy of the home or the married life," the court said.</w:t>
      </w:r>
    </w:p>
    <w:p w:rsidR="00E7552F" w:rsidRPr="00EF2654" w:rsidRDefault="00E7552F" w:rsidP="00EF2654">
      <w:pPr>
        <w:spacing w:line="360" w:lineRule="auto"/>
        <w:jc w:val="both"/>
        <w:rPr>
          <w:rFonts w:ascii="Times New Roman" w:hAnsi="Times New Roman" w:cs="Times New Roman"/>
          <w:b/>
          <w:sz w:val="24"/>
          <w:szCs w:val="24"/>
        </w:rPr>
      </w:pPr>
      <w:r w:rsidRPr="00EF2654">
        <w:rPr>
          <w:rFonts w:ascii="Times New Roman" w:hAnsi="Times New Roman" w:cs="Times New Roman"/>
          <w:sz w:val="24"/>
          <w:szCs w:val="24"/>
        </w:rPr>
        <w:t>The Supreme Court said in the State of Maharashtra vs. Madhkar Naraya</w:t>
      </w:r>
      <w:r w:rsidRPr="00EF2654">
        <w:rPr>
          <w:rStyle w:val="FootnoteReference"/>
          <w:rFonts w:ascii="Times New Roman" w:hAnsi="Times New Roman" w:cs="Times New Roman"/>
          <w:sz w:val="24"/>
          <w:szCs w:val="24"/>
        </w:rPr>
        <w:footnoteReference w:id="4"/>
      </w:r>
      <w:r w:rsidRPr="00EF2654">
        <w:rPr>
          <w:rFonts w:ascii="Times New Roman" w:hAnsi="Times New Roman" w:cs="Times New Roman"/>
          <w:sz w:val="24"/>
          <w:szCs w:val="24"/>
        </w:rPr>
        <w:t>, that every woman has the right to privacy, which must be respected. The Supreme Court held in the 1995 case of Bodhisattwa Gautam vs. Subhra Chakraborty</w:t>
      </w:r>
      <w:r w:rsidRPr="00EF2654">
        <w:rPr>
          <w:rStyle w:val="FootnoteReference"/>
          <w:rFonts w:ascii="Times New Roman" w:hAnsi="Times New Roman" w:cs="Times New Roman"/>
          <w:sz w:val="24"/>
          <w:szCs w:val="24"/>
        </w:rPr>
        <w:footnoteReference w:id="5"/>
      </w:r>
      <w:r w:rsidRPr="00EF2654">
        <w:rPr>
          <w:rFonts w:ascii="Times New Roman" w:hAnsi="Times New Roman" w:cs="Times New Roman"/>
          <w:sz w:val="24"/>
          <w:szCs w:val="24"/>
        </w:rPr>
        <w:t xml:space="preserve"> that rape did not violate Article 21 of the Constitution since it impeded basic human rights and violated the victim's right to life and dignity. The Verma Committee advocated criminalising marital rape after the 2012 Nirbhaya rape case, claiming that marriage did not imply irrevocable agreement to sexual actions. The advice was ignored by the Indian government at the time.</w:t>
      </w:r>
    </w:p>
    <w:p w:rsidR="004E1DA8" w:rsidRPr="00EF2654" w:rsidRDefault="004E1DA8"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"The sexual intercourse between the prosecutrix [petitioner] and the accused, even though forceful, is not rape and no guilt can be attached upon the accused," a Special Fast track Court in Delhi held in the State against Vikash case of 2014.</w:t>
      </w:r>
    </w:p>
    <w:p w:rsidR="00E7552F" w:rsidRPr="00EF2654" w:rsidRDefault="00E7552F"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lastRenderedPageBreak/>
        <w:t xml:space="preserve">The Supreme Court denied a woman's appeal accusing her husband of sexual abuse in 2015, according to a </w:t>
      </w:r>
      <w:r w:rsidR="00EF2654" w:rsidRPr="00EF2654">
        <w:rPr>
          <w:rFonts w:ascii="Times New Roman" w:hAnsi="Times New Roman" w:cs="Times New Roman"/>
          <w:sz w:val="24"/>
          <w:szCs w:val="24"/>
        </w:rPr>
        <w:t>story</w:t>
      </w:r>
      <w:r w:rsidRPr="00EF2654">
        <w:rPr>
          <w:rFonts w:ascii="Times New Roman" w:hAnsi="Times New Roman" w:cs="Times New Roman"/>
          <w:sz w:val="24"/>
          <w:szCs w:val="24"/>
        </w:rPr>
        <w:t xml:space="preserve"> in the First Post. "You are preaching a personal cause and not a public one," Justices AR Dave and R Banumathi observed. This is a one-of-a-kind situation."</w:t>
      </w:r>
    </w:p>
    <w:p w:rsidR="00FD65A0" w:rsidRPr="00EF2654" w:rsidRDefault="00FD65A0"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The failure to criminalise marital rape runs counter to India's other laws. In India, it is illegal to offend a woman's modesty or to act against her will or permission. Marital rape, on the other hand, is something that happens without her permission but is not a crime. Article 14's right to equality and equal protection under the law, as well as Article 21's right to life and personal liberty, are both violated. Society makes the mistake of assuming that if a woman is married, she is always sexually bound to her partner. It has been observed that when a woman does not want to have sexual intercourse but goes through the procedure, it has an impact on both her physical and emotional health, violating her fundamental right to live a better life. There are only countable incidents of marital rape that are documented since it is not recognised as a crime. Once it is recognised as a crime, we will be able to know the precise prevalence of it.</w:t>
      </w:r>
    </w:p>
    <w:p w:rsidR="00FD65A0" w:rsidRPr="00EF2654" w:rsidRDefault="00FD65A0"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 xml:space="preserve"> But on the contrary, the phrase "marital rape" is meaningless in and of itself, because marriage entails both people agreeing to a mutual contract of sexual intercourse exclusively. This is a situation in which the proof cannot be given with sufficient authenticity, making it impossible to determine whether it is rape or mutual intercourse. The woman may accuse the innocent husband with such an infraction for any personal cause, such as rage, allowing for gender advantage. It creates a burden for the court since it is sloppy and cannot be proven correctly or dismissed outright.</w:t>
      </w:r>
    </w:p>
    <w:p w:rsidR="00FD65A0" w:rsidRPr="00EF2654" w:rsidRDefault="00FD65A0"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India is famed for its culture and legacy. When India's journey is pictured, it keeps its cultural customs and passes on the same zeal to the next generation. The same mentality motivates India to make the act of marital rape illegal. The government is still undecided on what to accept as proof when a case of marital rape is brought before a court, and if criminalising the crime will result in other issues such as harassment of males, etc. Criminalizing marital rape, according to social philosophers, would undermine the marriage structure.</w:t>
      </w:r>
    </w:p>
    <w:p w:rsidR="00843EAA" w:rsidRPr="00EF2654" w:rsidRDefault="00843EAA" w:rsidP="00EF2654">
      <w:pPr>
        <w:spacing w:line="360" w:lineRule="auto"/>
        <w:jc w:val="both"/>
        <w:rPr>
          <w:rFonts w:ascii="Times New Roman" w:hAnsi="Times New Roman" w:cs="Times New Roman"/>
          <w:sz w:val="24"/>
          <w:szCs w:val="24"/>
        </w:rPr>
      </w:pPr>
      <w:r w:rsidRPr="00EF2654">
        <w:rPr>
          <w:rFonts w:ascii="Times New Roman" w:hAnsi="Times New Roman" w:cs="Times New Roman"/>
          <w:sz w:val="24"/>
          <w:szCs w:val="24"/>
        </w:rPr>
        <w:t xml:space="preserve">Despite all of these circumstances, the prohibition prohibiting marital rape continues to exist as an unwritten law. In order to sustain this condition, Indian courts have issued an order clarifying married couples' rights by granting them the "right to say no to sexual intercourse." When viewed from either perspective, it has an impact on the other person. When this is broken, it becomes a </w:t>
      </w:r>
      <w:r w:rsidRPr="00EF2654">
        <w:rPr>
          <w:rFonts w:ascii="Times New Roman" w:hAnsi="Times New Roman" w:cs="Times New Roman"/>
          <w:sz w:val="24"/>
          <w:szCs w:val="24"/>
        </w:rPr>
        <w:lastRenderedPageBreak/>
        <w:t>crime, and the punishment for such a crime is still being worked out. When the same circumstance is interpreted in a different light, it might be perceived as harassment by males. Criminalizing such behaviour must not ensure the protection of one gender by robbing the safety of the other. As can be seen from the foregoing, marital rape is still not criminalised in India, although the process is progressing. This isn't to say that marital rape isn't a crime; it only means that it exists as a rule that hasn't been codified yet.</w:t>
      </w:r>
    </w:p>
    <w:sectPr w:rsidR="00843EAA" w:rsidRPr="00EF26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34F0" w:rsidRDefault="000E34F0" w:rsidP="00E7552F">
      <w:pPr>
        <w:spacing w:after="0" w:line="240" w:lineRule="auto"/>
      </w:pPr>
      <w:r>
        <w:separator/>
      </w:r>
    </w:p>
  </w:endnote>
  <w:endnote w:type="continuationSeparator" w:id="0">
    <w:p w:rsidR="000E34F0" w:rsidRDefault="000E34F0" w:rsidP="00E75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34F0" w:rsidRDefault="000E34F0" w:rsidP="00E7552F">
      <w:pPr>
        <w:spacing w:after="0" w:line="240" w:lineRule="auto"/>
      </w:pPr>
      <w:r>
        <w:separator/>
      </w:r>
    </w:p>
  </w:footnote>
  <w:footnote w:type="continuationSeparator" w:id="0">
    <w:p w:rsidR="000E34F0" w:rsidRDefault="000E34F0" w:rsidP="00E7552F">
      <w:pPr>
        <w:spacing w:after="0" w:line="240" w:lineRule="auto"/>
      </w:pPr>
      <w:r>
        <w:continuationSeparator/>
      </w:r>
    </w:p>
  </w:footnote>
  <w:footnote w:id="1">
    <w:p w:rsidR="004E1DA8" w:rsidRDefault="004E1DA8">
      <w:pPr>
        <w:pStyle w:val="FootnoteText"/>
      </w:pPr>
      <w:r>
        <w:rPr>
          <w:rStyle w:val="FootnoteReference"/>
        </w:rPr>
        <w:footnoteRef/>
      </w:r>
      <w:r>
        <w:t xml:space="preserve"> </w:t>
      </w:r>
      <w:r w:rsidR="00DB57F7" w:rsidRPr="00DB57F7">
        <w:rPr>
          <w:rFonts w:ascii="Times New Roman" w:hAnsi="Times New Roman" w:cs="Times New Roman"/>
        </w:rPr>
        <w:t>Report42,</w:t>
      </w:r>
      <w:r w:rsidRPr="004E1DA8">
        <w:rPr>
          <w:rFonts w:ascii="Times New Roman" w:hAnsi="Times New Roman" w:cs="Times New Roman"/>
        </w:rPr>
        <w:t>https://lawcommissionofindia.nic.in/1-50/Report42.pdf</w:t>
      </w:r>
      <w:r w:rsidR="00DB57F7">
        <w:rPr>
          <w:rFonts w:ascii="Times New Roman" w:hAnsi="Times New Roman" w:cs="Times New Roman"/>
        </w:rPr>
        <w:t xml:space="preserve"> (last visited Feb 10)</w:t>
      </w:r>
    </w:p>
  </w:footnote>
  <w:footnote w:id="2">
    <w:p w:rsidR="004E1DA8" w:rsidRDefault="004E1DA8">
      <w:pPr>
        <w:pStyle w:val="FootnoteText"/>
      </w:pPr>
      <w:r>
        <w:rPr>
          <w:rStyle w:val="FootnoteReference"/>
        </w:rPr>
        <w:footnoteRef/>
      </w:r>
      <w:r>
        <w:t xml:space="preserve"> </w:t>
      </w:r>
      <w:r w:rsidR="00DB57F7" w:rsidRPr="00DB57F7">
        <w:rPr>
          <w:rFonts w:ascii="Times New Roman" w:hAnsi="Times New Roman" w:cs="Times New Roman"/>
        </w:rPr>
        <w:t>Report172,</w:t>
      </w:r>
      <w:r w:rsidR="00DB57F7">
        <w:t xml:space="preserve"> </w:t>
      </w:r>
      <w:hyperlink r:id="rId1" w:history="1">
        <w:r w:rsidR="00DB57F7" w:rsidRPr="00A830FE">
          <w:rPr>
            <w:rStyle w:val="Hyperlink"/>
            <w:rFonts w:ascii="Times New Roman" w:hAnsi="Times New Roman" w:cs="Times New Roman"/>
          </w:rPr>
          <w:t>https://lawcommissionofindia.nic.in/old_reports/rpt172.pdf</w:t>
        </w:r>
      </w:hyperlink>
      <w:r w:rsidR="00DB57F7">
        <w:rPr>
          <w:rFonts w:ascii="Times New Roman" w:hAnsi="Times New Roman" w:cs="Times New Roman"/>
        </w:rPr>
        <w:t xml:space="preserve"> (last visited Feb 10)</w:t>
      </w:r>
    </w:p>
  </w:footnote>
  <w:footnote w:id="3">
    <w:p w:rsidR="00E7552F" w:rsidRPr="00E7552F" w:rsidRDefault="00E7552F">
      <w:pPr>
        <w:pStyle w:val="FootnoteText"/>
        <w:rPr>
          <w:rFonts w:ascii="Times New Roman" w:hAnsi="Times New Roman" w:cs="Times New Roman"/>
        </w:rPr>
      </w:pPr>
      <w:r>
        <w:rPr>
          <w:rStyle w:val="FootnoteReference"/>
        </w:rPr>
        <w:footnoteRef/>
      </w:r>
      <w:r>
        <w:t xml:space="preserve"> </w:t>
      </w:r>
      <w:r w:rsidR="00DB57F7" w:rsidRPr="00DB57F7">
        <w:rPr>
          <w:rFonts w:ascii="Times New Roman" w:hAnsi="Times New Roman" w:cs="Times New Roman"/>
        </w:rPr>
        <w:t>Harvinder Kaur vs. Harmander Singh</w:t>
      </w:r>
      <w:r w:rsidR="00DB57F7" w:rsidRPr="00E7552F">
        <w:rPr>
          <w:rFonts w:ascii="Times New Roman" w:hAnsi="Times New Roman" w:cs="Times New Roman"/>
          <w:bCs/>
          <w:color w:val="000000"/>
          <w:shd w:val="clear" w:color="auto" w:fill="FFFFFF"/>
        </w:rPr>
        <w:t xml:space="preserve"> </w:t>
      </w:r>
      <w:r w:rsidR="00DB57F7">
        <w:rPr>
          <w:rFonts w:ascii="Times New Roman" w:hAnsi="Times New Roman" w:cs="Times New Roman"/>
          <w:bCs/>
          <w:color w:val="000000"/>
          <w:shd w:val="clear" w:color="auto" w:fill="FFFFFF"/>
        </w:rPr>
        <w:t>,</w:t>
      </w:r>
      <w:r w:rsidRPr="00E7552F">
        <w:rPr>
          <w:rFonts w:ascii="Times New Roman" w:hAnsi="Times New Roman" w:cs="Times New Roman"/>
          <w:bCs/>
          <w:color w:val="000000"/>
          <w:shd w:val="clear" w:color="auto" w:fill="FFFFFF"/>
        </w:rPr>
        <w:t>AIR 1984 Delhi 66</w:t>
      </w:r>
    </w:p>
  </w:footnote>
  <w:footnote w:id="4">
    <w:p w:rsidR="00E7552F" w:rsidRDefault="00E7552F">
      <w:pPr>
        <w:pStyle w:val="FootnoteText"/>
      </w:pPr>
      <w:r>
        <w:rPr>
          <w:rStyle w:val="FootnoteReference"/>
        </w:rPr>
        <w:footnoteRef/>
      </w:r>
      <w:r>
        <w:t xml:space="preserve"> </w:t>
      </w:r>
      <w:r w:rsidR="00DB57F7" w:rsidRPr="00DB57F7">
        <w:rPr>
          <w:rFonts w:ascii="Times New Roman" w:hAnsi="Times New Roman" w:cs="Times New Roman"/>
        </w:rPr>
        <w:t>State of Maharashtra vs. Madhkar Naraya</w:t>
      </w:r>
      <w:r w:rsidR="00DB57F7" w:rsidRPr="00E7552F">
        <w:rPr>
          <w:rFonts w:ascii="Times New Roman" w:hAnsi="Times New Roman" w:cs="Times New Roman"/>
          <w:bCs/>
          <w:color w:val="000000"/>
          <w:shd w:val="clear" w:color="auto" w:fill="FFFFFF"/>
        </w:rPr>
        <w:t xml:space="preserve"> </w:t>
      </w:r>
      <w:r w:rsidR="00DB57F7">
        <w:rPr>
          <w:rFonts w:ascii="Times New Roman" w:hAnsi="Times New Roman" w:cs="Times New Roman"/>
          <w:bCs/>
          <w:color w:val="000000"/>
          <w:shd w:val="clear" w:color="auto" w:fill="FFFFFF"/>
        </w:rPr>
        <w:t>,</w:t>
      </w:r>
      <w:r w:rsidRPr="00E7552F">
        <w:rPr>
          <w:rFonts w:ascii="Times New Roman" w:hAnsi="Times New Roman" w:cs="Times New Roman"/>
          <w:bCs/>
          <w:color w:val="000000"/>
          <w:shd w:val="clear" w:color="auto" w:fill="FFFFFF"/>
        </w:rPr>
        <w:t>AIR 1991 SC 207</w:t>
      </w:r>
    </w:p>
  </w:footnote>
  <w:footnote w:id="5">
    <w:p w:rsidR="00E7552F" w:rsidRDefault="00E7552F">
      <w:pPr>
        <w:pStyle w:val="FootnoteText"/>
      </w:pPr>
      <w:r>
        <w:rPr>
          <w:rStyle w:val="FootnoteReference"/>
        </w:rPr>
        <w:footnoteRef/>
      </w:r>
      <w:r>
        <w:t xml:space="preserve"> </w:t>
      </w:r>
      <w:r w:rsidR="00DB57F7" w:rsidRPr="00DB57F7">
        <w:rPr>
          <w:rFonts w:ascii="Times New Roman" w:hAnsi="Times New Roman" w:cs="Times New Roman"/>
        </w:rPr>
        <w:t>Bodhisattwa Gautam vs. Subhra Chakraborty</w:t>
      </w:r>
      <w:r w:rsidR="00DB57F7" w:rsidRPr="00E7552F">
        <w:rPr>
          <w:rFonts w:ascii="Times New Roman" w:hAnsi="Times New Roman" w:cs="Times New Roman"/>
          <w:bCs/>
          <w:color w:val="000000"/>
          <w:shd w:val="clear" w:color="auto" w:fill="FFFFFF"/>
        </w:rPr>
        <w:t xml:space="preserve"> </w:t>
      </w:r>
      <w:r w:rsidR="00DB57F7">
        <w:rPr>
          <w:rFonts w:ascii="Times New Roman" w:hAnsi="Times New Roman" w:cs="Times New Roman"/>
          <w:bCs/>
          <w:color w:val="000000"/>
          <w:shd w:val="clear" w:color="auto" w:fill="FFFFFF"/>
        </w:rPr>
        <w:t>,</w:t>
      </w:r>
      <w:r w:rsidRPr="00E7552F">
        <w:rPr>
          <w:rFonts w:ascii="Times New Roman" w:hAnsi="Times New Roman" w:cs="Times New Roman"/>
          <w:bCs/>
          <w:color w:val="000000"/>
          <w:shd w:val="clear" w:color="auto" w:fill="FFFFFF"/>
        </w:rPr>
        <w:t>1996 SCC (1) 490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B87"/>
    <w:rsid w:val="000A2DBA"/>
    <w:rsid w:val="000E17AF"/>
    <w:rsid w:val="000E34F0"/>
    <w:rsid w:val="00207212"/>
    <w:rsid w:val="004540C4"/>
    <w:rsid w:val="004E1DA8"/>
    <w:rsid w:val="005F2780"/>
    <w:rsid w:val="00643195"/>
    <w:rsid w:val="00744C5B"/>
    <w:rsid w:val="00843D83"/>
    <w:rsid w:val="00843EAA"/>
    <w:rsid w:val="0086244A"/>
    <w:rsid w:val="009E26DB"/>
    <w:rsid w:val="00B66B87"/>
    <w:rsid w:val="00C0023C"/>
    <w:rsid w:val="00D57218"/>
    <w:rsid w:val="00DB57F7"/>
    <w:rsid w:val="00E7552F"/>
    <w:rsid w:val="00EF2654"/>
    <w:rsid w:val="00F1263E"/>
    <w:rsid w:val="00FD6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7CB0D6-0388-4590-91C4-2CBD99574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7552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7552F"/>
    <w:rPr>
      <w:sz w:val="20"/>
      <w:szCs w:val="20"/>
    </w:rPr>
  </w:style>
  <w:style w:type="character" w:styleId="FootnoteReference">
    <w:name w:val="footnote reference"/>
    <w:basedOn w:val="DefaultParagraphFont"/>
    <w:uiPriority w:val="99"/>
    <w:semiHidden/>
    <w:unhideWhenUsed/>
    <w:rsid w:val="00E7552F"/>
    <w:rPr>
      <w:vertAlign w:val="superscript"/>
    </w:rPr>
  </w:style>
  <w:style w:type="character" w:styleId="Hyperlink">
    <w:name w:val="Hyperlink"/>
    <w:basedOn w:val="DefaultParagraphFont"/>
    <w:uiPriority w:val="99"/>
    <w:unhideWhenUsed/>
    <w:rsid w:val="00DB57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lawcommissionofindia.nic.in/old_reports/rpt17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0921B7-7FF3-47C5-96E3-228691F55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552</TotalTime>
  <Pages>6</Pages>
  <Words>1991</Words>
  <Characters>11353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SWAYAM</dc:creator>
  <cp:keywords/>
  <dc:description/>
  <cp:lastModifiedBy>SWAYAM</cp:lastModifiedBy>
  <cp:revision>8</cp:revision>
  <dcterms:created xsi:type="dcterms:W3CDTF">2022-02-08T02:26:00Z</dcterms:created>
  <dcterms:modified xsi:type="dcterms:W3CDTF">2022-02-21T03:42:00Z</dcterms:modified>
</cp:coreProperties>
</file>