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CB8077" w14:textId="78C4C31F" w:rsidR="00147897" w:rsidRPr="003E572D" w:rsidRDefault="00147897" w:rsidP="003E572D">
      <w:pPr>
        <w:shd w:val="clear" w:color="auto" w:fill="FFFFFF"/>
        <w:spacing w:after="0" w:line="240" w:lineRule="auto"/>
        <w:jc w:val="center"/>
        <w:rPr>
          <w:rFonts w:ascii="Times New Roman" w:eastAsia="Times New Roman" w:hAnsi="Times New Roman" w:cs="Times New Roman"/>
          <w:b/>
          <w:bCs/>
          <w:color w:val="212529"/>
          <w:sz w:val="28"/>
          <w:szCs w:val="28"/>
          <w:lang w:eastAsia="en-IN"/>
        </w:rPr>
      </w:pPr>
      <w:r w:rsidRPr="003E572D">
        <w:rPr>
          <w:rFonts w:ascii="Times New Roman" w:eastAsia="Times New Roman" w:hAnsi="Times New Roman" w:cs="Times New Roman"/>
          <w:b/>
          <w:bCs/>
          <w:color w:val="212529"/>
          <w:sz w:val="28"/>
          <w:szCs w:val="28"/>
          <w:lang w:eastAsia="en-IN"/>
        </w:rPr>
        <w:t xml:space="preserve">A </w:t>
      </w:r>
      <w:r w:rsidR="003E572D" w:rsidRPr="003E572D">
        <w:rPr>
          <w:rFonts w:ascii="Times New Roman" w:eastAsia="Times New Roman" w:hAnsi="Times New Roman" w:cs="Times New Roman"/>
          <w:b/>
          <w:bCs/>
          <w:color w:val="212529"/>
          <w:sz w:val="28"/>
          <w:szCs w:val="28"/>
          <w:lang w:eastAsia="en-IN"/>
        </w:rPr>
        <w:t>Discourse on Business Promotion Expenditure &amp; its Taxability vis-a-vis GST</w:t>
      </w:r>
    </w:p>
    <w:p w14:paraId="676AEF8B" w14:textId="4D2ABED3" w:rsidR="003E572D" w:rsidRDefault="003E572D" w:rsidP="003E572D">
      <w:pPr>
        <w:shd w:val="clear" w:color="auto" w:fill="FFFFFF"/>
        <w:spacing w:after="0" w:line="240" w:lineRule="auto"/>
        <w:jc w:val="right"/>
        <w:rPr>
          <w:rFonts w:ascii="Times New Roman" w:eastAsia="Times New Roman" w:hAnsi="Times New Roman" w:cs="Times New Roman"/>
          <w:color w:val="212529"/>
          <w:sz w:val="24"/>
          <w:szCs w:val="24"/>
          <w:lang w:eastAsia="en-IN"/>
        </w:rPr>
      </w:pPr>
      <w:r w:rsidRPr="003E572D">
        <w:rPr>
          <w:rFonts w:ascii="Times New Roman" w:eastAsia="Times New Roman" w:hAnsi="Times New Roman" w:cs="Times New Roman"/>
          <w:color w:val="212529"/>
          <w:sz w:val="24"/>
          <w:szCs w:val="24"/>
          <w:lang w:eastAsia="en-IN"/>
        </w:rPr>
        <w:t>-Abhishek Bhardwaj</w:t>
      </w:r>
    </w:p>
    <w:p w14:paraId="7BE79544" w14:textId="23E7F2B8" w:rsidR="002A1424" w:rsidRDefault="002A1424" w:rsidP="003E572D">
      <w:pPr>
        <w:shd w:val="clear" w:color="auto" w:fill="FFFFFF"/>
        <w:spacing w:after="0" w:line="240" w:lineRule="auto"/>
        <w:jc w:val="right"/>
        <w:rPr>
          <w:rFonts w:ascii="Times New Roman" w:eastAsia="Times New Roman" w:hAnsi="Times New Roman" w:cs="Times New Roman"/>
          <w:color w:val="212529"/>
          <w:sz w:val="24"/>
          <w:szCs w:val="24"/>
          <w:lang w:eastAsia="en-IN"/>
        </w:rPr>
      </w:pPr>
      <w:r>
        <w:rPr>
          <w:rFonts w:ascii="Times New Roman" w:eastAsia="Times New Roman" w:hAnsi="Times New Roman" w:cs="Times New Roman"/>
          <w:color w:val="212529"/>
          <w:sz w:val="24"/>
          <w:szCs w:val="24"/>
          <w:lang w:eastAsia="en-IN"/>
        </w:rPr>
        <w:t>BBA-LLB(H)</w:t>
      </w:r>
    </w:p>
    <w:p w14:paraId="14574A06" w14:textId="268DF68A" w:rsidR="002A1424" w:rsidRPr="003E572D" w:rsidRDefault="002A1424" w:rsidP="003E572D">
      <w:pPr>
        <w:shd w:val="clear" w:color="auto" w:fill="FFFFFF"/>
        <w:spacing w:after="0" w:line="240" w:lineRule="auto"/>
        <w:jc w:val="right"/>
        <w:rPr>
          <w:rFonts w:ascii="Times New Roman" w:eastAsia="Times New Roman" w:hAnsi="Times New Roman" w:cs="Times New Roman"/>
          <w:color w:val="212529"/>
          <w:sz w:val="24"/>
          <w:szCs w:val="24"/>
          <w:lang w:eastAsia="en-IN"/>
        </w:rPr>
      </w:pPr>
      <w:r>
        <w:rPr>
          <w:rFonts w:ascii="Times New Roman" w:eastAsia="Times New Roman" w:hAnsi="Times New Roman" w:cs="Times New Roman"/>
          <w:color w:val="212529"/>
          <w:sz w:val="24"/>
          <w:szCs w:val="24"/>
          <w:lang w:eastAsia="en-IN"/>
        </w:rPr>
        <w:t>2019-24</w:t>
      </w:r>
    </w:p>
    <w:p w14:paraId="16CAD03E" w14:textId="1364EDAB" w:rsidR="003E572D" w:rsidRPr="003E572D" w:rsidRDefault="003E572D" w:rsidP="003E572D">
      <w:pPr>
        <w:shd w:val="clear" w:color="auto" w:fill="FFFFFF"/>
        <w:spacing w:after="0" w:line="240" w:lineRule="auto"/>
        <w:jc w:val="right"/>
        <w:rPr>
          <w:rFonts w:ascii="Times New Roman" w:eastAsia="Times New Roman" w:hAnsi="Times New Roman" w:cs="Times New Roman"/>
          <w:color w:val="212529"/>
          <w:sz w:val="24"/>
          <w:szCs w:val="24"/>
          <w:lang w:eastAsia="en-IN"/>
        </w:rPr>
      </w:pPr>
      <w:r w:rsidRPr="003E572D">
        <w:rPr>
          <w:rFonts w:ascii="Times New Roman" w:eastAsia="Times New Roman" w:hAnsi="Times New Roman" w:cs="Times New Roman"/>
          <w:color w:val="212529"/>
          <w:sz w:val="24"/>
          <w:szCs w:val="24"/>
          <w:lang w:eastAsia="en-IN"/>
        </w:rPr>
        <w:t>Amity Law School, Noida</w:t>
      </w:r>
    </w:p>
    <w:p w14:paraId="59BF8A21" w14:textId="66624A5B" w:rsidR="00F668B1" w:rsidRPr="00F668B1" w:rsidRDefault="00943933" w:rsidP="003E572D">
      <w:pPr>
        <w:shd w:val="clear" w:color="auto" w:fill="FFFFFF"/>
        <w:spacing w:after="100" w:afterAutospacing="1" w:line="360" w:lineRule="auto"/>
        <w:jc w:val="both"/>
        <w:rPr>
          <w:rFonts w:ascii="Times New Roman" w:eastAsia="Times New Roman" w:hAnsi="Times New Roman" w:cs="Times New Roman"/>
          <w:b/>
          <w:bCs/>
          <w:color w:val="212529"/>
          <w:sz w:val="24"/>
          <w:szCs w:val="24"/>
          <w:lang w:eastAsia="en-IN"/>
        </w:rPr>
      </w:pPr>
      <w:r w:rsidRPr="003E572D">
        <w:rPr>
          <w:rFonts w:ascii="Times New Roman" w:eastAsia="Times New Roman" w:hAnsi="Times New Roman" w:cs="Times New Roman"/>
          <w:b/>
          <w:bCs/>
          <w:color w:val="212529"/>
          <w:sz w:val="24"/>
          <w:szCs w:val="24"/>
          <w:lang w:eastAsia="en-IN"/>
        </w:rPr>
        <w:t>Introduction</w:t>
      </w:r>
    </w:p>
    <w:p w14:paraId="1AE89824" w14:textId="5EC1E5FC" w:rsidR="00F668B1" w:rsidRPr="003E572D" w:rsidRDefault="00F668B1" w:rsidP="003E572D">
      <w:pPr>
        <w:shd w:val="clear" w:color="auto" w:fill="FFFFFF"/>
        <w:spacing w:after="100" w:afterAutospacing="1" w:line="360" w:lineRule="auto"/>
        <w:jc w:val="both"/>
        <w:rPr>
          <w:rFonts w:ascii="Times New Roman" w:eastAsia="Times New Roman" w:hAnsi="Times New Roman" w:cs="Times New Roman"/>
          <w:color w:val="212529"/>
          <w:sz w:val="24"/>
          <w:szCs w:val="24"/>
          <w:lang w:eastAsia="en-IN"/>
        </w:rPr>
      </w:pPr>
      <w:r w:rsidRPr="003E572D">
        <w:rPr>
          <w:rFonts w:ascii="Times New Roman" w:eastAsia="Times New Roman" w:hAnsi="Times New Roman" w:cs="Times New Roman"/>
          <w:color w:val="212529"/>
          <w:sz w:val="24"/>
          <w:szCs w:val="24"/>
          <w:lang w:eastAsia="en-IN"/>
        </w:rPr>
        <w:t>Businesses currently confront cutthroat competition due to the ever-increasing rate of start-ups. It's a case of survival of the fittest: either the company promotes its product or services to customers, or the customer moves on to a competitor. Firms come up with numerous inventive promotional strategies to market their brand, such as delivering free samples, cash backs, discounts, and so on. One method of brand marketing is to give retailers and distributors brand reminders such as key chains, bags, caps, pens, and other items embossed with the company's logo or name to remind customers to buy its products. These items are given to retailers for free distribution to end users in order to promote the brand. This article aims to clear up any doubt about whether these goods are taxable and whether the company that sells them can claim Input Tax Credit for them. Whether or not this goods distribution qualifies as a present, etc. In addition, the articles summarise major legal developments in this area, such as circulations and Advance Authority Rulings.</w:t>
      </w:r>
    </w:p>
    <w:p w14:paraId="2C69876E" w14:textId="5B293070" w:rsidR="00943933" w:rsidRPr="003E572D" w:rsidRDefault="00943933" w:rsidP="003E572D">
      <w:pPr>
        <w:shd w:val="clear" w:color="auto" w:fill="FFFFFF"/>
        <w:spacing w:after="100" w:afterAutospacing="1" w:line="360" w:lineRule="auto"/>
        <w:jc w:val="both"/>
        <w:rPr>
          <w:rFonts w:ascii="Times New Roman" w:hAnsi="Times New Roman" w:cs="Times New Roman"/>
          <w:b/>
          <w:bCs/>
          <w:sz w:val="24"/>
          <w:szCs w:val="24"/>
        </w:rPr>
      </w:pPr>
      <w:r w:rsidRPr="003E572D">
        <w:rPr>
          <w:rFonts w:ascii="Times New Roman" w:hAnsi="Times New Roman" w:cs="Times New Roman"/>
          <w:b/>
          <w:bCs/>
          <w:sz w:val="24"/>
          <w:szCs w:val="24"/>
        </w:rPr>
        <w:t>A Quick Overview to India’s Taxation Structure’s History</w:t>
      </w:r>
    </w:p>
    <w:p w14:paraId="33F65DE9" w14:textId="7A83C6AB" w:rsidR="00296A0E" w:rsidRPr="003E572D" w:rsidRDefault="00296A0E" w:rsidP="003E572D">
      <w:p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 xml:space="preserve">The primary goal of public finance is to promote societal welfare by guaranteeing rational resource allocation in accordance with economic priorities. The mobilisation of revenue and its spending have a big role in a country's development. India is a federal republic. Legislative autonomy and financial independence are two important characteristics of a federal government. This value is inscribed in India's constitution. Financial settlements in unified India began with the Regularity Act of 1773 and the Character Act of 1833. Following that, on the advice of Mr. Montague, the then Secretary of State for India, moves were taken to separate tax resources between the centre and the provinces in 1919. The constitutional delegation of tax authorities established the basic basis for independent India's tax system. The implementation of the principle of separation of tax powers between the federal and state governments is a key component of the tax assignment. Financial issues are addressed in Articles 268 through 300 of the Indian Constitution. Article 246 </w:t>
      </w:r>
      <w:r w:rsidRPr="003E572D">
        <w:rPr>
          <w:rFonts w:ascii="Times New Roman" w:hAnsi="Times New Roman" w:cs="Times New Roman"/>
          <w:sz w:val="24"/>
          <w:szCs w:val="24"/>
        </w:rPr>
        <w:lastRenderedPageBreak/>
        <w:t>of the Constitution states that Parliament has sole authority to enact legislation on any topic listed in the Union List (List I of schedule VII). The states have entire legislative power over any item listed in the State List (List II of Schedule VII), and both Parliament and the State Legislature have legislative jurisdiction over any matter listed in the Concurrent List (List III of schedule VII). Article 265 of India's constitution plainly stipulates that no taxes can be levied or collected unless they are authorised by law. The Union Government's taxing powers are described in entries 82 to 92B of List I of the VII Schedule. The taxing powers of state governments are defined in entries 45 to 63 of List II of the VII Schedule. List III does not include any taxing heads, indicating that the Union and the states do not have concurrent taxing powers. This article was included in the constitution to eliminate redundancy in tax administration and to reduce tax competition between the Union and the states, as well as between the states themselves.</w:t>
      </w:r>
    </w:p>
    <w:p w14:paraId="739E782F" w14:textId="2E345C31" w:rsidR="00317381" w:rsidRPr="003E572D" w:rsidRDefault="00317381" w:rsidP="003E572D">
      <w:pPr>
        <w:shd w:val="clear" w:color="auto" w:fill="FFFFFF"/>
        <w:spacing w:after="100" w:afterAutospacing="1" w:line="360" w:lineRule="auto"/>
        <w:jc w:val="both"/>
        <w:rPr>
          <w:rFonts w:ascii="Times New Roman" w:hAnsi="Times New Roman" w:cs="Times New Roman"/>
          <w:b/>
          <w:bCs/>
          <w:sz w:val="24"/>
          <w:szCs w:val="24"/>
        </w:rPr>
      </w:pPr>
      <w:r w:rsidRPr="003E572D">
        <w:rPr>
          <w:rFonts w:ascii="Times New Roman" w:hAnsi="Times New Roman" w:cs="Times New Roman"/>
          <w:b/>
          <w:bCs/>
          <w:sz w:val="24"/>
          <w:szCs w:val="24"/>
        </w:rPr>
        <w:t>T</w:t>
      </w:r>
      <w:r w:rsidR="00943933" w:rsidRPr="003E572D">
        <w:rPr>
          <w:rFonts w:ascii="Times New Roman" w:hAnsi="Times New Roman" w:cs="Times New Roman"/>
          <w:b/>
          <w:bCs/>
          <w:sz w:val="24"/>
          <w:szCs w:val="24"/>
        </w:rPr>
        <w:t>he Taxation Machinery of India</w:t>
      </w:r>
      <w:r w:rsidRPr="003E572D">
        <w:rPr>
          <w:rFonts w:ascii="Times New Roman" w:hAnsi="Times New Roman" w:cs="Times New Roman"/>
          <w:b/>
          <w:bCs/>
          <w:sz w:val="24"/>
          <w:szCs w:val="24"/>
        </w:rPr>
        <w:t xml:space="preserve"> </w:t>
      </w:r>
    </w:p>
    <w:p w14:paraId="4ACB73B4" w14:textId="210C73C0" w:rsidR="00296A0E" w:rsidRPr="003E572D" w:rsidRDefault="00296A0E" w:rsidP="003E572D">
      <w:p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For its citizens, India has a well-structured tax system. The government's primary source of revenue is taxes. This money is used for a variety of reasons and projects related to the country's growth. Taxes are set by the federal and state governments, as well as local governments such as municipal corporations. A tax cannot be imposed by the government unless it is enacted into law. Income taxes (excluding agricultural income taxes, which are levied by state governments), customs charges, central excise, and service tax are all levied by the central government. State governments levy taxes such as VAT, stamp duty, state excise, land revenue, and profession tax. Local governments have the authority to charge taxes on properties, octroi, and facilities such as water supply and drainage. During the previous decade, India's taxation structure has undergone massive changes. Tax rates have been rationalised, and tax rules have been streamlined, resulting in improved compliance, tax payment ease, and enforcement. In India, the process of tax administration rationalisation is ongoing, with the most recent step being the implementation of the Goods and Services Tax, the country's largest indirect tax reform.</w:t>
      </w:r>
    </w:p>
    <w:p w14:paraId="2B46C824" w14:textId="746D0102" w:rsidR="00317381" w:rsidRPr="003E572D" w:rsidRDefault="00317381" w:rsidP="003E572D">
      <w:pPr>
        <w:shd w:val="clear" w:color="auto" w:fill="FFFFFF"/>
        <w:spacing w:after="100" w:afterAutospacing="1" w:line="360" w:lineRule="auto"/>
        <w:jc w:val="both"/>
        <w:rPr>
          <w:rFonts w:ascii="Times New Roman" w:hAnsi="Times New Roman" w:cs="Times New Roman"/>
          <w:b/>
          <w:bCs/>
          <w:sz w:val="24"/>
          <w:szCs w:val="24"/>
        </w:rPr>
      </w:pPr>
      <w:r w:rsidRPr="003E572D">
        <w:rPr>
          <w:rFonts w:ascii="Times New Roman" w:hAnsi="Times New Roman" w:cs="Times New Roman"/>
          <w:b/>
          <w:bCs/>
          <w:sz w:val="24"/>
          <w:szCs w:val="24"/>
        </w:rPr>
        <w:t xml:space="preserve">Broadly there are 2 types of taxes: </w:t>
      </w:r>
    </w:p>
    <w:p w14:paraId="1488C28B" w14:textId="2FD5A60C" w:rsidR="00734E95" w:rsidRPr="003E572D" w:rsidRDefault="00734E95" w:rsidP="003E572D">
      <w:pPr>
        <w:pStyle w:val="ListParagraph"/>
        <w:numPr>
          <w:ilvl w:val="0"/>
          <w:numId w:val="3"/>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b/>
          <w:bCs/>
          <w:sz w:val="24"/>
          <w:szCs w:val="24"/>
        </w:rPr>
        <w:t>Direct Taxes:</w:t>
      </w:r>
      <w:r w:rsidRPr="003E572D">
        <w:rPr>
          <w:rFonts w:ascii="Times New Roman" w:hAnsi="Times New Roman" w:cs="Times New Roman"/>
          <w:sz w:val="24"/>
          <w:szCs w:val="24"/>
        </w:rPr>
        <w:t xml:space="preserve"> Direct taxes (income tax, wealth tax, etc.) impose a tax burden on the taxpayer directly.</w:t>
      </w:r>
    </w:p>
    <w:p w14:paraId="5D9C044B" w14:textId="77777777" w:rsidR="00734E95" w:rsidRPr="003E572D" w:rsidRDefault="00734E95" w:rsidP="003E572D">
      <w:pPr>
        <w:pStyle w:val="ListParagraph"/>
        <w:numPr>
          <w:ilvl w:val="0"/>
          <w:numId w:val="5"/>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b/>
          <w:bCs/>
          <w:sz w:val="24"/>
          <w:szCs w:val="24"/>
        </w:rPr>
        <w:lastRenderedPageBreak/>
        <w:t>Income tax:</w:t>
      </w:r>
      <w:r w:rsidRPr="003E572D">
        <w:rPr>
          <w:rFonts w:ascii="Times New Roman" w:hAnsi="Times New Roman" w:cs="Times New Roman"/>
          <w:sz w:val="24"/>
          <w:szCs w:val="24"/>
        </w:rPr>
        <w:t xml:space="preserve"> The Income Tax Act of 1961 states that everyone who is an </w:t>
      </w:r>
      <w:proofErr w:type="spellStart"/>
      <w:r w:rsidRPr="003E572D">
        <w:rPr>
          <w:rFonts w:ascii="Times New Roman" w:hAnsi="Times New Roman" w:cs="Times New Roman"/>
          <w:sz w:val="24"/>
          <w:szCs w:val="24"/>
        </w:rPr>
        <w:t>assesse</w:t>
      </w:r>
      <w:proofErr w:type="spellEnd"/>
      <w:r w:rsidRPr="003E572D">
        <w:rPr>
          <w:rFonts w:ascii="Times New Roman" w:hAnsi="Times New Roman" w:cs="Times New Roman"/>
          <w:sz w:val="24"/>
          <w:szCs w:val="24"/>
        </w:rPr>
        <w:t xml:space="preserve"> and whose total income exceeds the maximum exemption limit is subject to income tax at the rate or rates set forth in the Finance Act.</w:t>
      </w:r>
    </w:p>
    <w:p w14:paraId="455D9B1F" w14:textId="11C500FF" w:rsidR="00734E95" w:rsidRPr="003E572D" w:rsidRDefault="00734E95" w:rsidP="003E572D">
      <w:pPr>
        <w:pStyle w:val="ListParagraph"/>
        <w:numPr>
          <w:ilvl w:val="0"/>
          <w:numId w:val="3"/>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b/>
          <w:bCs/>
          <w:sz w:val="24"/>
          <w:szCs w:val="24"/>
        </w:rPr>
        <w:t xml:space="preserve">Indirect Taxes: </w:t>
      </w:r>
      <w:r w:rsidRPr="003E572D">
        <w:rPr>
          <w:rFonts w:ascii="Times New Roman" w:hAnsi="Times New Roman" w:cs="Times New Roman"/>
          <w:sz w:val="24"/>
          <w:szCs w:val="24"/>
        </w:rPr>
        <w:t xml:space="preserve">Indirect taxes are not paid directly to the government by the </w:t>
      </w:r>
      <w:proofErr w:type="spellStart"/>
      <w:r w:rsidRPr="003E572D">
        <w:rPr>
          <w:rFonts w:ascii="Times New Roman" w:hAnsi="Times New Roman" w:cs="Times New Roman"/>
          <w:sz w:val="24"/>
          <w:szCs w:val="24"/>
        </w:rPr>
        <w:t>assessee</w:t>
      </w:r>
      <w:proofErr w:type="spellEnd"/>
      <w:r w:rsidRPr="003E572D">
        <w:rPr>
          <w:rFonts w:ascii="Times New Roman" w:hAnsi="Times New Roman" w:cs="Times New Roman"/>
          <w:sz w:val="24"/>
          <w:szCs w:val="24"/>
        </w:rPr>
        <w:t>. These are imposed on products and services and collected by middlemen (those who sell goods or offer services).</w:t>
      </w:r>
    </w:p>
    <w:p w14:paraId="3314C0FD" w14:textId="77777777" w:rsidR="00734E95" w:rsidRPr="003E572D" w:rsidRDefault="00734E95" w:rsidP="003E572D">
      <w:pPr>
        <w:pStyle w:val="ListParagraph"/>
        <w:numPr>
          <w:ilvl w:val="0"/>
          <w:numId w:val="5"/>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b/>
          <w:bCs/>
          <w:sz w:val="24"/>
          <w:szCs w:val="24"/>
        </w:rPr>
        <w:t>Central Sales Tax (CST)</w:t>
      </w:r>
      <w:r w:rsidRPr="003E572D">
        <w:rPr>
          <w:rFonts w:ascii="Times New Roman" w:hAnsi="Times New Roman" w:cs="Times New Roman"/>
          <w:sz w:val="24"/>
          <w:szCs w:val="24"/>
        </w:rPr>
        <w:t xml:space="preserve"> is payable on the sale of all items by a dealer in the process of interstate trade or commerce, or outside a state, or in the course of import into or export from India.</w:t>
      </w:r>
    </w:p>
    <w:p w14:paraId="3E3C83C0" w14:textId="77777777" w:rsidR="00734E95" w:rsidRPr="003E572D" w:rsidRDefault="00734E95" w:rsidP="003E572D">
      <w:pPr>
        <w:pStyle w:val="ListParagraph"/>
        <w:numPr>
          <w:ilvl w:val="0"/>
          <w:numId w:val="5"/>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b/>
          <w:bCs/>
          <w:sz w:val="24"/>
          <w:szCs w:val="24"/>
        </w:rPr>
        <w:t>VAT (Value Added Tax):</w:t>
      </w:r>
      <w:r w:rsidRPr="003E572D">
        <w:rPr>
          <w:rFonts w:ascii="Times New Roman" w:hAnsi="Times New Roman" w:cs="Times New Roman"/>
          <w:sz w:val="24"/>
          <w:szCs w:val="24"/>
        </w:rPr>
        <w:t xml:space="preserve"> VAT was a multistage tax on goods levied at multiple stages of production and distribution, with credit given for tax paid at each stage of value addition. The establishment of a state level The Value Added Tax (VAT) was one of India's most major state-level tax reform initiatives. The former State Sales Tax had been replaced with the state-level VAT.</w:t>
      </w:r>
    </w:p>
    <w:p w14:paraId="32972E6C" w14:textId="77777777" w:rsidR="00734E95" w:rsidRPr="003E572D" w:rsidRDefault="00734E95" w:rsidP="003E572D">
      <w:pPr>
        <w:pStyle w:val="ListParagraph"/>
        <w:numPr>
          <w:ilvl w:val="0"/>
          <w:numId w:val="5"/>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b/>
          <w:bCs/>
          <w:sz w:val="24"/>
          <w:szCs w:val="24"/>
        </w:rPr>
        <w:t>Excise Duty:</w:t>
      </w:r>
      <w:r w:rsidRPr="003E572D">
        <w:rPr>
          <w:rFonts w:ascii="Times New Roman" w:hAnsi="Times New Roman" w:cs="Times New Roman"/>
          <w:sz w:val="24"/>
          <w:szCs w:val="24"/>
        </w:rPr>
        <w:t xml:space="preserve"> An indirect tax placed on commodities made in India was known as Central Excise Duty. The Central Excise Tariff Act specifies which commodities are subject to excise.</w:t>
      </w:r>
    </w:p>
    <w:p w14:paraId="6CDCBE9F" w14:textId="77777777" w:rsidR="00734E95" w:rsidRPr="003E572D" w:rsidRDefault="00734E95" w:rsidP="003E572D">
      <w:pPr>
        <w:pStyle w:val="ListParagraph"/>
        <w:numPr>
          <w:ilvl w:val="0"/>
          <w:numId w:val="5"/>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b/>
          <w:bCs/>
          <w:sz w:val="24"/>
          <w:szCs w:val="24"/>
        </w:rPr>
        <w:t>Additional Excise Duty:</w:t>
      </w:r>
      <w:r w:rsidRPr="003E572D">
        <w:rPr>
          <w:rFonts w:ascii="Times New Roman" w:hAnsi="Times New Roman" w:cs="Times New Roman"/>
          <w:sz w:val="24"/>
          <w:szCs w:val="24"/>
        </w:rPr>
        <w:t xml:space="preserve"> Section 3 of the Additional Excise Duties (Products of Special Importance) Act, 1957 authorises the imposition and collection of excise duties on the goods listed in the Act's Schedule. This was a tax that was levied in place of sales tax, and it was split between the federal and state governments.</w:t>
      </w:r>
    </w:p>
    <w:p w14:paraId="6B89CE59" w14:textId="77777777" w:rsidR="00734E95" w:rsidRPr="003E572D" w:rsidRDefault="00734E95" w:rsidP="003E572D">
      <w:pPr>
        <w:pStyle w:val="ListParagraph"/>
        <w:numPr>
          <w:ilvl w:val="0"/>
          <w:numId w:val="5"/>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b/>
          <w:bCs/>
          <w:sz w:val="24"/>
          <w:szCs w:val="24"/>
        </w:rPr>
        <w:t>Special Excise Duty:</w:t>
      </w:r>
      <w:r w:rsidRPr="003E572D">
        <w:rPr>
          <w:rFonts w:ascii="Times New Roman" w:hAnsi="Times New Roman" w:cs="Times New Roman"/>
          <w:sz w:val="24"/>
          <w:szCs w:val="24"/>
        </w:rPr>
        <w:t xml:space="preserve"> Under Section 37 of the Finance Act of 1978, all excisable items on which a tax of Basic Excise Duty is imposed under the Central Excises and Salt Act, 1944, are subject to Special Excise Duty. Since then, the relevant provisions of the Finance Act have specified whether or not the Special Excise Duty will be imposed and collected during each financial year.</w:t>
      </w:r>
    </w:p>
    <w:p w14:paraId="20BE1E73" w14:textId="77777777" w:rsidR="00734E95" w:rsidRPr="003E572D" w:rsidRDefault="00734E95" w:rsidP="003E572D">
      <w:pPr>
        <w:pStyle w:val="ListParagraph"/>
        <w:numPr>
          <w:ilvl w:val="0"/>
          <w:numId w:val="5"/>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b/>
          <w:bCs/>
          <w:sz w:val="24"/>
          <w:szCs w:val="24"/>
        </w:rPr>
        <w:t>Customs Duty:</w:t>
      </w:r>
      <w:r w:rsidRPr="003E572D">
        <w:rPr>
          <w:rFonts w:ascii="Times New Roman" w:hAnsi="Times New Roman" w:cs="Times New Roman"/>
          <w:sz w:val="24"/>
          <w:szCs w:val="24"/>
        </w:rPr>
        <w:t xml:space="preserve"> The Central Government imposes customs or import duties on items that are imported. The rate at which customs duties are charged on commodities is determined by the products' categorization under the Customs Tariff.</w:t>
      </w:r>
    </w:p>
    <w:p w14:paraId="14CCB15A" w14:textId="38A2EDD5" w:rsidR="00734E95" w:rsidRPr="003E572D" w:rsidRDefault="00734E95" w:rsidP="003E572D">
      <w:pPr>
        <w:pStyle w:val="ListParagraph"/>
        <w:numPr>
          <w:ilvl w:val="0"/>
          <w:numId w:val="5"/>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b/>
          <w:bCs/>
          <w:sz w:val="24"/>
          <w:szCs w:val="24"/>
        </w:rPr>
        <w:lastRenderedPageBreak/>
        <w:t>Service tax</w:t>
      </w:r>
      <w:r w:rsidRPr="003E572D">
        <w:rPr>
          <w:rFonts w:ascii="Times New Roman" w:hAnsi="Times New Roman" w:cs="Times New Roman"/>
          <w:sz w:val="24"/>
          <w:szCs w:val="24"/>
        </w:rPr>
        <w:t xml:space="preserve"> was first established in India in 1994, and it applied to only three essential services: general insurance, stockbroking, and telephone. Almost all services are now subject to service tax, with the exception of those on the negative list.</w:t>
      </w:r>
    </w:p>
    <w:p w14:paraId="682166BB" w14:textId="299B033C" w:rsidR="00F668B1" w:rsidRPr="003E572D" w:rsidRDefault="00F668B1" w:rsidP="003E572D">
      <w:pPr>
        <w:shd w:val="clear" w:color="auto" w:fill="FFFFFF"/>
        <w:spacing w:after="100" w:afterAutospacing="1" w:line="360" w:lineRule="auto"/>
        <w:jc w:val="both"/>
        <w:rPr>
          <w:rFonts w:ascii="Times New Roman" w:eastAsia="Times New Roman" w:hAnsi="Times New Roman" w:cs="Times New Roman"/>
          <w:b/>
          <w:bCs/>
          <w:color w:val="212529"/>
          <w:sz w:val="24"/>
          <w:szCs w:val="24"/>
          <w:lang w:eastAsia="en-IN"/>
        </w:rPr>
      </w:pPr>
      <w:r w:rsidRPr="003E572D">
        <w:rPr>
          <w:rFonts w:ascii="Times New Roman" w:eastAsia="Times New Roman" w:hAnsi="Times New Roman" w:cs="Times New Roman"/>
          <w:b/>
          <w:bCs/>
          <w:color w:val="212529"/>
          <w:sz w:val="24"/>
          <w:szCs w:val="24"/>
          <w:lang w:eastAsia="en-IN"/>
        </w:rPr>
        <w:t>The Perplexing Nature of Promotion</w:t>
      </w:r>
    </w:p>
    <w:p w14:paraId="11D21201" w14:textId="3AD7DBFB" w:rsidR="00F668B1" w:rsidRPr="003E572D" w:rsidRDefault="00F668B1" w:rsidP="003E572D">
      <w:pPr>
        <w:shd w:val="clear" w:color="auto" w:fill="FFFFFF"/>
        <w:spacing w:after="100" w:afterAutospacing="1" w:line="360" w:lineRule="auto"/>
        <w:jc w:val="both"/>
        <w:rPr>
          <w:rFonts w:ascii="Times New Roman" w:eastAsia="Times New Roman" w:hAnsi="Times New Roman" w:cs="Times New Roman"/>
          <w:color w:val="212529"/>
          <w:sz w:val="24"/>
          <w:szCs w:val="24"/>
          <w:lang w:eastAsia="en-IN"/>
        </w:rPr>
      </w:pPr>
      <w:r w:rsidRPr="003E572D">
        <w:rPr>
          <w:rFonts w:ascii="Times New Roman" w:eastAsia="Times New Roman" w:hAnsi="Times New Roman" w:cs="Times New Roman"/>
          <w:color w:val="212529"/>
          <w:sz w:val="24"/>
          <w:szCs w:val="24"/>
          <w:lang w:eastAsia="en-IN"/>
        </w:rPr>
        <w:t>Any firm has to promote its products and services. Survival in this competitive company environment is difficult without promotion. Firms provide bespoke goods embossed with a trademark or brand name to advertise their business. The firm purchases these items from a third party after paying GST on the supply of these goods. Because these commodities are also used for brand promotion, the company records them as inputs and seeks input tax credit [ITC] for them. Every registered person can claim credit for input tax paid on any supply of goods or services if they are used in the conduct or furtherance of business, according to Section 16 of the CGST Act. The main argument made by businesses when claiming a tax credit on stuff that serves as a brand reminder is that these items are employed in the course of business. Furthermore, under section 17 (5) (h) of the CGST Act, ITC is not applicable for goods written off or disposed of as gifts or free samples. As a result, the law is still in flux. Whether these items are provided to consumers at no cost in order to promote the goods and services offered, or whether they are in the service of business. Is it true that these items are gifts?</w:t>
      </w:r>
    </w:p>
    <w:p w14:paraId="5DA939D9" w14:textId="14D96214" w:rsidR="00F668B1" w:rsidRPr="003E572D" w:rsidRDefault="00F668B1" w:rsidP="003E572D">
      <w:pPr>
        <w:shd w:val="clear" w:color="auto" w:fill="FFFFFF"/>
        <w:spacing w:after="100" w:afterAutospacing="1" w:line="360" w:lineRule="auto"/>
        <w:jc w:val="both"/>
        <w:rPr>
          <w:rFonts w:ascii="Times New Roman" w:eastAsia="Times New Roman" w:hAnsi="Times New Roman" w:cs="Times New Roman"/>
          <w:b/>
          <w:bCs/>
          <w:color w:val="212529"/>
          <w:sz w:val="24"/>
          <w:szCs w:val="24"/>
          <w:lang w:eastAsia="en-IN"/>
        </w:rPr>
      </w:pPr>
      <w:r w:rsidRPr="003E572D">
        <w:rPr>
          <w:rFonts w:ascii="Times New Roman" w:eastAsia="Times New Roman" w:hAnsi="Times New Roman" w:cs="Times New Roman"/>
          <w:b/>
          <w:bCs/>
          <w:color w:val="212529"/>
          <w:sz w:val="24"/>
          <w:szCs w:val="24"/>
          <w:lang w:eastAsia="en-IN"/>
        </w:rPr>
        <w:t>Is it true that the distribution of goods constitutes supply?</w:t>
      </w:r>
    </w:p>
    <w:p w14:paraId="3A4B73D5" w14:textId="39D68D74" w:rsidR="00F668B1" w:rsidRPr="003E572D" w:rsidRDefault="00F668B1" w:rsidP="003E572D">
      <w:pPr>
        <w:shd w:val="clear" w:color="auto" w:fill="FFFFFF"/>
        <w:spacing w:after="100" w:afterAutospacing="1" w:line="360" w:lineRule="auto"/>
        <w:jc w:val="both"/>
        <w:rPr>
          <w:rFonts w:ascii="Times New Roman" w:eastAsia="Times New Roman" w:hAnsi="Times New Roman" w:cs="Times New Roman"/>
          <w:color w:val="212529"/>
          <w:sz w:val="24"/>
          <w:szCs w:val="24"/>
          <w:lang w:eastAsia="en-IN"/>
        </w:rPr>
      </w:pPr>
      <w:r w:rsidRPr="003E572D">
        <w:rPr>
          <w:rFonts w:ascii="Times New Roman" w:eastAsia="Times New Roman" w:hAnsi="Times New Roman" w:cs="Times New Roman"/>
          <w:color w:val="212529"/>
          <w:sz w:val="24"/>
          <w:szCs w:val="24"/>
          <w:lang w:eastAsia="en-IN"/>
        </w:rPr>
        <w:t>The argument in favour of making ITC available to businesses is that the objects used as brand reminders, such as hoarding, display boards, and refrigerators, all embossed with the company's logo and name, are owned by the company and hence should be treated as inputs. Because the company uses these items to promote its business and charges depreciation on them. As a result, the company profits from the goods. These merchandise or promotional items are supplied to retailers with the goal of eliciting reciprocity from customers and increasing sales and brand value for the company.</w:t>
      </w:r>
    </w:p>
    <w:p w14:paraId="1EB39A08" w14:textId="7BA78C4A" w:rsidR="00F668B1" w:rsidRPr="003E572D" w:rsidRDefault="00F668B1" w:rsidP="003E572D">
      <w:pPr>
        <w:shd w:val="clear" w:color="auto" w:fill="FFFFFF"/>
        <w:spacing w:after="100" w:afterAutospacing="1" w:line="360" w:lineRule="auto"/>
        <w:jc w:val="both"/>
        <w:rPr>
          <w:rFonts w:ascii="Times New Roman" w:eastAsia="Times New Roman" w:hAnsi="Times New Roman" w:cs="Times New Roman"/>
          <w:color w:val="212529"/>
          <w:sz w:val="24"/>
          <w:szCs w:val="24"/>
          <w:lang w:eastAsia="en-IN"/>
        </w:rPr>
      </w:pPr>
      <w:r w:rsidRPr="003E572D">
        <w:rPr>
          <w:rFonts w:ascii="Times New Roman" w:eastAsia="Times New Roman" w:hAnsi="Times New Roman" w:cs="Times New Roman"/>
          <w:color w:val="212529"/>
          <w:sz w:val="24"/>
          <w:szCs w:val="24"/>
          <w:lang w:eastAsia="en-IN"/>
        </w:rPr>
        <w:t xml:space="preserve">Input means any goods other than capital goods utilised by a provider in the course or furtherance of business, according to section 2(59) of the CGST Act. The issue arises because the term "in the </w:t>
      </w:r>
      <w:r w:rsidRPr="003E572D">
        <w:rPr>
          <w:rFonts w:ascii="Times New Roman" w:eastAsia="Times New Roman" w:hAnsi="Times New Roman" w:cs="Times New Roman"/>
          <w:color w:val="212529"/>
          <w:sz w:val="24"/>
          <w:szCs w:val="24"/>
          <w:lang w:eastAsia="en-IN"/>
        </w:rPr>
        <w:lastRenderedPageBreak/>
        <w:t>course and furtherance of business" is not defined in the GST law. Section 2(17) of the CGST Act defines business and gives it a broad definition that encompasses a variety of activities.</w:t>
      </w:r>
    </w:p>
    <w:p w14:paraId="301EEFAA" w14:textId="708A93F0" w:rsidR="00F668B1" w:rsidRPr="003E572D" w:rsidRDefault="00F668B1" w:rsidP="003E572D">
      <w:pPr>
        <w:shd w:val="clear" w:color="auto" w:fill="FFFFFF"/>
        <w:spacing w:after="100" w:afterAutospacing="1" w:line="360" w:lineRule="auto"/>
        <w:jc w:val="both"/>
        <w:rPr>
          <w:rFonts w:ascii="Times New Roman" w:eastAsia="Times New Roman" w:hAnsi="Times New Roman" w:cs="Times New Roman"/>
          <w:color w:val="212529"/>
          <w:sz w:val="24"/>
          <w:szCs w:val="24"/>
          <w:lang w:eastAsia="en-IN"/>
        </w:rPr>
      </w:pPr>
      <w:r w:rsidRPr="003E572D">
        <w:rPr>
          <w:rFonts w:ascii="Times New Roman" w:eastAsia="Times New Roman" w:hAnsi="Times New Roman" w:cs="Times New Roman"/>
          <w:color w:val="212529"/>
          <w:sz w:val="24"/>
          <w:szCs w:val="24"/>
          <w:lang w:eastAsia="en-IN"/>
        </w:rPr>
        <w:t>While discussing the taxability of renting immovable property in the course and furtherance of business in Cinemax India Ltd. v. Union of India,</w:t>
      </w:r>
      <w:r w:rsidRPr="003E572D">
        <w:rPr>
          <w:rStyle w:val="FootnoteReference"/>
          <w:rFonts w:ascii="Times New Roman" w:eastAsia="Times New Roman" w:hAnsi="Times New Roman" w:cs="Times New Roman"/>
          <w:color w:val="212529"/>
          <w:sz w:val="24"/>
          <w:szCs w:val="24"/>
          <w:lang w:eastAsia="en-IN"/>
        </w:rPr>
        <w:footnoteReference w:id="1"/>
      </w:r>
      <w:r w:rsidRPr="003E572D">
        <w:rPr>
          <w:rFonts w:ascii="Times New Roman" w:eastAsia="Times New Roman" w:hAnsi="Times New Roman" w:cs="Times New Roman"/>
          <w:color w:val="212529"/>
          <w:sz w:val="24"/>
          <w:szCs w:val="24"/>
          <w:lang w:eastAsia="en-IN"/>
        </w:rPr>
        <w:t xml:space="preserve"> the Hon'ble High Court of Gujarat elaborated on the meaning of the term furtherance and held that when a service recipient rents an immovable property for business purposes, it is in the spirit of the promotion, progress, and advancement of business. As a result, value is added, and the activity is conducted in the course of business. The phrase "in the course or furtherance of his business" should be interpreted as any activity carried out with the intention of adding value to one's business.</w:t>
      </w:r>
    </w:p>
    <w:p w14:paraId="5BEAD13D" w14:textId="7886B227" w:rsidR="00F668B1" w:rsidRPr="003E572D" w:rsidRDefault="00F668B1" w:rsidP="003E572D">
      <w:pPr>
        <w:shd w:val="clear" w:color="auto" w:fill="FFFFFF"/>
        <w:spacing w:after="100" w:afterAutospacing="1" w:line="360" w:lineRule="auto"/>
        <w:jc w:val="both"/>
        <w:rPr>
          <w:rFonts w:ascii="Times New Roman" w:eastAsia="Times New Roman" w:hAnsi="Times New Roman" w:cs="Times New Roman"/>
          <w:color w:val="212529"/>
          <w:sz w:val="24"/>
          <w:szCs w:val="24"/>
          <w:lang w:eastAsia="en-IN"/>
        </w:rPr>
      </w:pPr>
      <w:r w:rsidRPr="003E572D">
        <w:rPr>
          <w:rFonts w:ascii="Times New Roman" w:eastAsia="Times New Roman" w:hAnsi="Times New Roman" w:cs="Times New Roman"/>
          <w:color w:val="212529"/>
          <w:sz w:val="24"/>
          <w:szCs w:val="24"/>
          <w:lang w:eastAsia="en-IN"/>
        </w:rPr>
        <w:t>In the Sanofi India</w:t>
      </w:r>
      <w:r w:rsidR="00C538E5" w:rsidRPr="003E572D">
        <w:rPr>
          <w:rStyle w:val="FootnoteReference"/>
          <w:rFonts w:ascii="Times New Roman" w:eastAsia="Times New Roman" w:hAnsi="Times New Roman" w:cs="Times New Roman"/>
          <w:color w:val="212529"/>
          <w:sz w:val="24"/>
          <w:szCs w:val="24"/>
          <w:lang w:eastAsia="en-IN"/>
        </w:rPr>
        <w:footnoteReference w:id="2"/>
      </w:r>
      <w:r w:rsidRPr="003E572D">
        <w:rPr>
          <w:rFonts w:ascii="Times New Roman" w:eastAsia="Times New Roman" w:hAnsi="Times New Roman" w:cs="Times New Roman"/>
          <w:color w:val="212529"/>
          <w:sz w:val="24"/>
          <w:szCs w:val="24"/>
          <w:lang w:eastAsia="en-IN"/>
        </w:rPr>
        <w:t xml:space="preserve"> Limited Ruling, the Maharashtra Authority for Advance Ruling decided that the commodities employed by the firm as a brand recall aid in the furthering of business, and that they are inputs for the firm under section 2(59) of the CGST Act.</w:t>
      </w:r>
    </w:p>
    <w:p w14:paraId="0E50E609" w14:textId="343477F5" w:rsidR="00F668B1" w:rsidRPr="00F668B1" w:rsidRDefault="00F668B1" w:rsidP="003E572D">
      <w:pPr>
        <w:shd w:val="clear" w:color="auto" w:fill="FFFFFF"/>
        <w:spacing w:after="100" w:afterAutospacing="1" w:line="360" w:lineRule="auto"/>
        <w:jc w:val="both"/>
        <w:rPr>
          <w:rFonts w:ascii="Times New Roman" w:eastAsia="Times New Roman" w:hAnsi="Times New Roman" w:cs="Times New Roman"/>
          <w:color w:val="212529"/>
          <w:sz w:val="24"/>
          <w:szCs w:val="24"/>
          <w:lang w:eastAsia="en-IN"/>
        </w:rPr>
      </w:pPr>
      <w:r w:rsidRPr="00F668B1">
        <w:rPr>
          <w:rFonts w:ascii="Times New Roman" w:eastAsia="Times New Roman" w:hAnsi="Times New Roman" w:cs="Times New Roman"/>
          <w:color w:val="212529"/>
          <w:sz w:val="24"/>
          <w:szCs w:val="24"/>
          <w:lang w:eastAsia="en-IN"/>
        </w:rPr>
        <w:t>The Authority ruled that:</w:t>
      </w:r>
    </w:p>
    <w:p w14:paraId="50959413" w14:textId="64FA4AD7" w:rsidR="00F668B1" w:rsidRPr="00F668B1" w:rsidRDefault="00F668B1" w:rsidP="003E572D">
      <w:pPr>
        <w:shd w:val="clear" w:color="auto" w:fill="FFFFFF"/>
        <w:spacing w:after="100" w:afterAutospacing="1" w:line="360" w:lineRule="auto"/>
        <w:ind w:left="720"/>
        <w:jc w:val="both"/>
        <w:rPr>
          <w:rFonts w:ascii="Times New Roman" w:eastAsia="Times New Roman" w:hAnsi="Times New Roman" w:cs="Times New Roman"/>
          <w:color w:val="212529"/>
          <w:sz w:val="24"/>
          <w:szCs w:val="24"/>
          <w:lang w:eastAsia="en-IN"/>
        </w:rPr>
      </w:pPr>
      <w:r w:rsidRPr="00F668B1">
        <w:rPr>
          <w:rFonts w:ascii="Times New Roman" w:eastAsia="Times New Roman" w:hAnsi="Times New Roman" w:cs="Times New Roman"/>
          <w:color w:val="212529"/>
          <w:sz w:val="24"/>
          <w:szCs w:val="24"/>
          <w:lang w:eastAsia="en-IN"/>
        </w:rPr>
        <w:t>"</w:t>
      </w:r>
      <w:r w:rsidRPr="00F668B1">
        <w:rPr>
          <w:rFonts w:ascii="Times New Roman" w:eastAsia="Times New Roman" w:hAnsi="Times New Roman" w:cs="Times New Roman"/>
          <w:i/>
          <w:iCs/>
          <w:color w:val="212529"/>
          <w:sz w:val="24"/>
          <w:szCs w:val="24"/>
          <w:lang w:eastAsia="en-IN"/>
        </w:rPr>
        <w:t>On perusal of the submissions made by the Appellant in this regard, we agree with the Appellant’s contention that these goods, provided free of cost to their distributors or doctors in their trade channels, are actually being used as an advertisement tools for the promotion of brand Sanofi as all such goods i.e. pens, notepads, key chains, etc. are their brand embossed with the brand ’Sanofi, thus making them as potential advertisement tools for their brand, which in turns would help in furtherance of their business</w:t>
      </w:r>
      <w:r w:rsidRPr="00F668B1">
        <w:rPr>
          <w:rFonts w:ascii="Times New Roman" w:eastAsia="Times New Roman" w:hAnsi="Times New Roman" w:cs="Times New Roman"/>
          <w:color w:val="212529"/>
          <w:sz w:val="24"/>
          <w:szCs w:val="24"/>
          <w:lang w:eastAsia="en-IN"/>
        </w:rPr>
        <w:t>."</w:t>
      </w:r>
      <w:r w:rsidR="005F6402" w:rsidRPr="003E572D">
        <w:rPr>
          <w:rStyle w:val="FootnoteReference"/>
          <w:rFonts w:ascii="Times New Roman" w:eastAsia="Times New Roman" w:hAnsi="Times New Roman" w:cs="Times New Roman"/>
          <w:color w:val="212529"/>
          <w:sz w:val="24"/>
          <w:szCs w:val="24"/>
          <w:lang w:eastAsia="en-IN"/>
        </w:rPr>
        <w:footnoteReference w:id="3"/>
      </w:r>
    </w:p>
    <w:p w14:paraId="166DC973" w14:textId="77777777" w:rsidR="00C538E5" w:rsidRPr="003E572D" w:rsidRDefault="00C538E5" w:rsidP="003E572D">
      <w:pPr>
        <w:shd w:val="clear" w:color="auto" w:fill="FFFFFF"/>
        <w:spacing w:after="100" w:afterAutospacing="1" w:line="360" w:lineRule="auto"/>
        <w:jc w:val="both"/>
        <w:rPr>
          <w:rFonts w:ascii="Times New Roman" w:eastAsia="Times New Roman" w:hAnsi="Times New Roman" w:cs="Times New Roman"/>
          <w:color w:val="212529"/>
          <w:sz w:val="24"/>
          <w:szCs w:val="24"/>
          <w:lang w:eastAsia="en-IN"/>
        </w:rPr>
      </w:pPr>
      <w:r w:rsidRPr="003E572D">
        <w:rPr>
          <w:rFonts w:ascii="Times New Roman" w:eastAsia="Times New Roman" w:hAnsi="Times New Roman" w:cs="Times New Roman"/>
          <w:color w:val="212529"/>
          <w:sz w:val="24"/>
          <w:szCs w:val="24"/>
          <w:lang w:eastAsia="en-IN"/>
        </w:rPr>
        <w:t>By affirming that ITC is applicable on GST paid on expenses incurred for promotional schemes items delivered as brand reminders, the judgement opened a path forward in claiming ITC on the goods supplied as brand reminders.</w:t>
      </w:r>
    </w:p>
    <w:p w14:paraId="0CD60A6F" w14:textId="52D2F984" w:rsidR="00C538E5" w:rsidRPr="003E572D" w:rsidRDefault="00C538E5" w:rsidP="003E572D">
      <w:pPr>
        <w:shd w:val="clear" w:color="auto" w:fill="FFFFFF"/>
        <w:spacing w:after="100" w:afterAutospacing="1" w:line="360" w:lineRule="auto"/>
        <w:jc w:val="both"/>
        <w:rPr>
          <w:rFonts w:ascii="Times New Roman" w:eastAsia="Times New Roman" w:hAnsi="Times New Roman" w:cs="Times New Roman"/>
          <w:b/>
          <w:bCs/>
          <w:color w:val="212529"/>
          <w:sz w:val="24"/>
          <w:szCs w:val="24"/>
          <w:lang w:eastAsia="en-IN"/>
        </w:rPr>
      </w:pPr>
      <w:r w:rsidRPr="003E572D">
        <w:rPr>
          <w:rFonts w:ascii="Times New Roman" w:eastAsia="Times New Roman" w:hAnsi="Times New Roman" w:cs="Times New Roman"/>
          <w:b/>
          <w:bCs/>
          <w:color w:val="212529"/>
          <w:sz w:val="24"/>
          <w:szCs w:val="24"/>
          <w:lang w:eastAsia="en-IN"/>
        </w:rPr>
        <w:t xml:space="preserve">Does </w:t>
      </w:r>
      <w:r w:rsidR="00147897" w:rsidRPr="003E572D">
        <w:rPr>
          <w:rFonts w:ascii="Times New Roman" w:eastAsia="Times New Roman" w:hAnsi="Times New Roman" w:cs="Times New Roman"/>
          <w:b/>
          <w:bCs/>
          <w:color w:val="212529"/>
          <w:sz w:val="24"/>
          <w:szCs w:val="24"/>
          <w:lang w:eastAsia="en-IN"/>
        </w:rPr>
        <w:t>“</w:t>
      </w:r>
      <w:r w:rsidRPr="003E572D">
        <w:rPr>
          <w:rFonts w:ascii="Times New Roman" w:eastAsia="Times New Roman" w:hAnsi="Times New Roman" w:cs="Times New Roman"/>
          <w:b/>
          <w:bCs/>
          <w:color w:val="212529"/>
          <w:sz w:val="24"/>
          <w:szCs w:val="24"/>
          <w:lang w:eastAsia="en-IN"/>
        </w:rPr>
        <w:t>promotional merchandise</w:t>
      </w:r>
      <w:r w:rsidR="00147897" w:rsidRPr="003E572D">
        <w:rPr>
          <w:rFonts w:ascii="Times New Roman" w:eastAsia="Times New Roman" w:hAnsi="Times New Roman" w:cs="Times New Roman"/>
          <w:b/>
          <w:bCs/>
          <w:color w:val="212529"/>
          <w:sz w:val="24"/>
          <w:szCs w:val="24"/>
          <w:lang w:eastAsia="en-IN"/>
        </w:rPr>
        <w:t>”</w:t>
      </w:r>
      <w:r w:rsidRPr="003E572D">
        <w:rPr>
          <w:rFonts w:ascii="Times New Roman" w:eastAsia="Times New Roman" w:hAnsi="Times New Roman" w:cs="Times New Roman"/>
          <w:b/>
          <w:bCs/>
          <w:color w:val="212529"/>
          <w:sz w:val="24"/>
          <w:szCs w:val="24"/>
          <w:lang w:eastAsia="en-IN"/>
        </w:rPr>
        <w:t xml:space="preserve"> </w:t>
      </w:r>
      <w:r w:rsidR="00147897" w:rsidRPr="003E572D">
        <w:rPr>
          <w:rFonts w:ascii="Times New Roman" w:eastAsia="Times New Roman" w:hAnsi="Times New Roman" w:cs="Times New Roman"/>
          <w:b/>
          <w:bCs/>
          <w:color w:val="212529"/>
          <w:sz w:val="24"/>
          <w:szCs w:val="24"/>
          <w:lang w:eastAsia="en-IN"/>
        </w:rPr>
        <w:t>comes</w:t>
      </w:r>
      <w:r w:rsidRPr="003E572D">
        <w:rPr>
          <w:rFonts w:ascii="Times New Roman" w:eastAsia="Times New Roman" w:hAnsi="Times New Roman" w:cs="Times New Roman"/>
          <w:b/>
          <w:bCs/>
          <w:color w:val="212529"/>
          <w:sz w:val="24"/>
          <w:szCs w:val="24"/>
          <w:lang w:eastAsia="en-IN"/>
        </w:rPr>
        <w:t xml:space="preserve"> </w:t>
      </w:r>
      <w:r w:rsidR="00147897" w:rsidRPr="003E572D">
        <w:rPr>
          <w:rFonts w:ascii="Times New Roman" w:eastAsia="Times New Roman" w:hAnsi="Times New Roman" w:cs="Times New Roman"/>
          <w:b/>
          <w:bCs/>
          <w:color w:val="212529"/>
          <w:sz w:val="24"/>
          <w:szCs w:val="24"/>
          <w:lang w:eastAsia="en-IN"/>
        </w:rPr>
        <w:t>under</w:t>
      </w:r>
      <w:r w:rsidRPr="003E572D">
        <w:rPr>
          <w:rFonts w:ascii="Times New Roman" w:eastAsia="Times New Roman" w:hAnsi="Times New Roman" w:cs="Times New Roman"/>
          <w:b/>
          <w:bCs/>
          <w:color w:val="212529"/>
          <w:sz w:val="24"/>
          <w:szCs w:val="24"/>
          <w:lang w:eastAsia="en-IN"/>
        </w:rPr>
        <w:t xml:space="preserve"> the category of a </w:t>
      </w:r>
      <w:r w:rsidR="00147897" w:rsidRPr="003E572D">
        <w:rPr>
          <w:rFonts w:ascii="Times New Roman" w:eastAsia="Times New Roman" w:hAnsi="Times New Roman" w:cs="Times New Roman"/>
          <w:b/>
          <w:bCs/>
          <w:color w:val="212529"/>
          <w:sz w:val="24"/>
          <w:szCs w:val="24"/>
          <w:lang w:eastAsia="en-IN"/>
        </w:rPr>
        <w:t>“</w:t>
      </w:r>
      <w:r w:rsidRPr="003E572D">
        <w:rPr>
          <w:rFonts w:ascii="Times New Roman" w:eastAsia="Times New Roman" w:hAnsi="Times New Roman" w:cs="Times New Roman"/>
          <w:b/>
          <w:bCs/>
          <w:color w:val="212529"/>
          <w:sz w:val="24"/>
          <w:szCs w:val="24"/>
          <w:lang w:eastAsia="en-IN"/>
        </w:rPr>
        <w:t>gift</w:t>
      </w:r>
      <w:r w:rsidR="00147897" w:rsidRPr="003E572D">
        <w:rPr>
          <w:rFonts w:ascii="Times New Roman" w:eastAsia="Times New Roman" w:hAnsi="Times New Roman" w:cs="Times New Roman"/>
          <w:b/>
          <w:bCs/>
          <w:color w:val="212529"/>
          <w:sz w:val="24"/>
          <w:szCs w:val="24"/>
          <w:lang w:eastAsia="en-IN"/>
        </w:rPr>
        <w:t>”</w:t>
      </w:r>
      <w:r w:rsidRPr="003E572D">
        <w:rPr>
          <w:rFonts w:ascii="Times New Roman" w:eastAsia="Times New Roman" w:hAnsi="Times New Roman" w:cs="Times New Roman"/>
          <w:b/>
          <w:bCs/>
          <w:color w:val="212529"/>
          <w:sz w:val="24"/>
          <w:szCs w:val="24"/>
          <w:lang w:eastAsia="en-IN"/>
        </w:rPr>
        <w:t>?</w:t>
      </w:r>
    </w:p>
    <w:p w14:paraId="0A5B0D02" w14:textId="6AFD84E3" w:rsidR="00C538E5" w:rsidRPr="003E572D" w:rsidRDefault="00C538E5" w:rsidP="003E572D">
      <w:pPr>
        <w:shd w:val="clear" w:color="auto" w:fill="FFFFFF"/>
        <w:spacing w:after="100" w:afterAutospacing="1" w:line="360" w:lineRule="auto"/>
        <w:jc w:val="both"/>
        <w:rPr>
          <w:rFonts w:ascii="Times New Roman" w:eastAsia="Times New Roman" w:hAnsi="Times New Roman" w:cs="Times New Roman"/>
          <w:color w:val="212529"/>
          <w:sz w:val="24"/>
          <w:szCs w:val="24"/>
          <w:lang w:eastAsia="en-IN"/>
        </w:rPr>
      </w:pPr>
      <w:r w:rsidRPr="003E572D">
        <w:rPr>
          <w:rFonts w:ascii="Times New Roman" w:eastAsia="Times New Roman" w:hAnsi="Times New Roman" w:cs="Times New Roman"/>
          <w:color w:val="212529"/>
          <w:sz w:val="24"/>
          <w:szCs w:val="24"/>
          <w:lang w:eastAsia="en-IN"/>
        </w:rPr>
        <w:lastRenderedPageBreak/>
        <w:t>The term "gift" is not defined under the GST legislation, however it is defined in the Gift Tax Act of 1858 as the voluntary transfer of any existing moveable or immovable property from one person to another without consideration in money or money's worth. In the case of Sonia Bhatia vs. State of Uttar Pradesh,</w:t>
      </w:r>
      <w:r w:rsidRPr="003E572D">
        <w:rPr>
          <w:rStyle w:val="FootnoteReference"/>
          <w:rFonts w:ascii="Times New Roman" w:eastAsia="Times New Roman" w:hAnsi="Times New Roman" w:cs="Times New Roman"/>
          <w:color w:val="212529"/>
          <w:sz w:val="24"/>
          <w:szCs w:val="24"/>
          <w:lang w:eastAsia="en-IN"/>
        </w:rPr>
        <w:footnoteReference w:id="4"/>
      </w:r>
      <w:r w:rsidRPr="003E572D">
        <w:rPr>
          <w:rFonts w:ascii="Times New Roman" w:eastAsia="Times New Roman" w:hAnsi="Times New Roman" w:cs="Times New Roman"/>
          <w:color w:val="212529"/>
          <w:sz w:val="24"/>
          <w:szCs w:val="24"/>
          <w:lang w:eastAsia="en-IN"/>
        </w:rPr>
        <w:t xml:space="preserve"> the Supreme Court ruled that a gift must have the following characteristics:</w:t>
      </w:r>
    </w:p>
    <w:p w14:paraId="28614D52" w14:textId="77777777" w:rsidR="00C538E5" w:rsidRPr="003E572D" w:rsidRDefault="00C538E5" w:rsidP="003E572D">
      <w:pPr>
        <w:pStyle w:val="ListParagraph"/>
        <w:numPr>
          <w:ilvl w:val="0"/>
          <w:numId w:val="2"/>
        </w:numPr>
        <w:shd w:val="clear" w:color="auto" w:fill="FFFFFF"/>
        <w:spacing w:after="100" w:afterAutospacing="1" w:line="360" w:lineRule="auto"/>
        <w:jc w:val="both"/>
        <w:rPr>
          <w:rFonts w:ascii="Times New Roman" w:eastAsia="Times New Roman" w:hAnsi="Times New Roman" w:cs="Times New Roman"/>
          <w:color w:val="212529"/>
          <w:sz w:val="24"/>
          <w:szCs w:val="24"/>
          <w:lang w:eastAsia="en-IN"/>
        </w:rPr>
      </w:pPr>
      <w:r w:rsidRPr="003E572D">
        <w:rPr>
          <w:rFonts w:ascii="Times New Roman" w:eastAsia="Times New Roman" w:hAnsi="Times New Roman" w:cs="Times New Roman"/>
          <w:color w:val="212529"/>
          <w:sz w:val="24"/>
          <w:szCs w:val="24"/>
          <w:lang w:eastAsia="en-IN"/>
        </w:rPr>
        <w:t xml:space="preserve">Transfer is voluntary; </w:t>
      </w:r>
    </w:p>
    <w:p w14:paraId="267BA8D0" w14:textId="24959C36" w:rsidR="00C538E5" w:rsidRPr="003E572D" w:rsidRDefault="00C538E5" w:rsidP="003E572D">
      <w:pPr>
        <w:pStyle w:val="ListParagraph"/>
        <w:numPr>
          <w:ilvl w:val="0"/>
          <w:numId w:val="2"/>
        </w:numPr>
        <w:shd w:val="clear" w:color="auto" w:fill="FFFFFF"/>
        <w:spacing w:after="100" w:afterAutospacing="1" w:line="360" w:lineRule="auto"/>
        <w:jc w:val="both"/>
        <w:rPr>
          <w:rFonts w:ascii="Times New Roman" w:eastAsia="Times New Roman" w:hAnsi="Times New Roman" w:cs="Times New Roman"/>
          <w:color w:val="212529"/>
          <w:sz w:val="24"/>
          <w:szCs w:val="24"/>
          <w:lang w:eastAsia="en-IN"/>
        </w:rPr>
      </w:pPr>
      <w:r w:rsidRPr="003E572D">
        <w:rPr>
          <w:rFonts w:ascii="Times New Roman" w:eastAsia="Times New Roman" w:hAnsi="Times New Roman" w:cs="Times New Roman"/>
          <w:color w:val="212529"/>
          <w:sz w:val="24"/>
          <w:szCs w:val="24"/>
          <w:lang w:eastAsia="en-IN"/>
        </w:rPr>
        <w:t xml:space="preserve">it is not the outcome of a contractual obligation; and </w:t>
      </w:r>
    </w:p>
    <w:p w14:paraId="2595A176" w14:textId="75479A4C" w:rsidR="00C538E5" w:rsidRPr="003E572D" w:rsidRDefault="00C538E5" w:rsidP="003E572D">
      <w:pPr>
        <w:pStyle w:val="ListParagraph"/>
        <w:numPr>
          <w:ilvl w:val="0"/>
          <w:numId w:val="2"/>
        </w:numPr>
        <w:shd w:val="clear" w:color="auto" w:fill="FFFFFF"/>
        <w:spacing w:after="100" w:afterAutospacing="1" w:line="360" w:lineRule="auto"/>
        <w:jc w:val="both"/>
        <w:rPr>
          <w:rFonts w:ascii="Times New Roman" w:eastAsia="Times New Roman" w:hAnsi="Times New Roman" w:cs="Times New Roman"/>
          <w:color w:val="212529"/>
          <w:sz w:val="24"/>
          <w:szCs w:val="24"/>
          <w:lang w:eastAsia="en-IN"/>
        </w:rPr>
      </w:pPr>
      <w:r w:rsidRPr="003E572D">
        <w:rPr>
          <w:rFonts w:ascii="Times New Roman" w:eastAsia="Times New Roman" w:hAnsi="Times New Roman" w:cs="Times New Roman"/>
          <w:color w:val="212529"/>
          <w:sz w:val="24"/>
          <w:szCs w:val="24"/>
          <w:lang w:eastAsia="en-IN"/>
        </w:rPr>
        <w:t>there is no economic transaction.</w:t>
      </w:r>
    </w:p>
    <w:p w14:paraId="3687934E" w14:textId="77777777" w:rsidR="00C538E5" w:rsidRPr="003E572D" w:rsidRDefault="00C538E5" w:rsidP="003E572D">
      <w:pPr>
        <w:shd w:val="clear" w:color="auto" w:fill="FFFFFF"/>
        <w:spacing w:after="100" w:afterAutospacing="1" w:line="360" w:lineRule="auto"/>
        <w:jc w:val="both"/>
        <w:rPr>
          <w:rFonts w:ascii="Times New Roman" w:eastAsia="Times New Roman" w:hAnsi="Times New Roman" w:cs="Times New Roman"/>
          <w:color w:val="212529"/>
          <w:sz w:val="24"/>
          <w:szCs w:val="24"/>
          <w:lang w:eastAsia="en-IN"/>
        </w:rPr>
      </w:pPr>
      <w:r w:rsidRPr="003E572D">
        <w:rPr>
          <w:rFonts w:ascii="Times New Roman" w:eastAsia="Times New Roman" w:hAnsi="Times New Roman" w:cs="Times New Roman"/>
          <w:color w:val="212529"/>
          <w:sz w:val="24"/>
          <w:szCs w:val="24"/>
          <w:lang w:eastAsia="en-IN"/>
        </w:rPr>
        <w:t>Circular No. 92/11/2019- GST enumerates and clarifies the status of gifts given in sales promotions. It was stated that goods and services offered free of charge are not considered supplies. The circular further said that ITC on input services and capital goods will not be available to suppliers if they are utilised in connection with a gift or free sample supplied without consideration. As a result, the question of whether the product donated to shops is considered a gift emerges.</w:t>
      </w:r>
    </w:p>
    <w:p w14:paraId="0A2AE0B2" w14:textId="77777777" w:rsidR="00C538E5" w:rsidRPr="003E572D" w:rsidRDefault="00C538E5" w:rsidP="003E572D">
      <w:pPr>
        <w:shd w:val="clear" w:color="auto" w:fill="FFFFFF"/>
        <w:spacing w:after="100" w:afterAutospacing="1" w:line="360" w:lineRule="auto"/>
        <w:jc w:val="both"/>
        <w:rPr>
          <w:rFonts w:ascii="Times New Roman" w:eastAsia="Times New Roman" w:hAnsi="Times New Roman" w:cs="Times New Roman"/>
          <w:color w:val="212529"/>
          <w:sz w:val="24"/>
          <w:szCs w:val="24"/>
          <w:lang w:eastAsia="en-IN"/>
        </w:rPr>
      </w:pPr>
      <w:r w:rsidRPr="003E572D">
        <w:rPr>
          <w:rFonts w:ascii="Times New Roman" w:eastAsia="Times New Roman" w:hAnsi="Times New Roman" w:cs="Times New Roman"/>
          <w:color w:val="212529"/>
          <w:sz w:val="24"/>
          <w:szCs w:val="24"/>
          <w:lang w:eastAsia="en-IN"/>
        </w:rPr>
        <w:t>The AAR of Maharashtra held in the Sanofi case that things embossed with the brand name, even if handed away for free, are subject to a commercial consideration of promoting sales. According to the authority, these commodities are handed to distributors and retailers with the underlying commercial objective of increasing sales. As a result, the Authority determined that the provision of products entails a commercial consideration and hence cannot be considered a gift, allowing ITC to be claimed on such commodities.</w:t>
      </w:r>
    </w:p>
    <w:p w14:paraId="56F752F7" w14:textId="12AA2243" w:rsidR="00C538E5" w:rsidRPr="003E572D" w:rsidRDefault="00C538E5" w:rsidP="003E572D">
      <w:pPr>
        <w:shd w:val="clear" w:color="auto" w:fill="FFFFFF"/>
        <w:spacing w:after="100" w:afterAutospacing="1" w:line="360" w:lineRule="auto"/>
        <w:jc w:val="both"/>
        <w:rPr>
          <w:rFonts w:ascii="Times New Roman" w:eastAsia="Times New Roman" w:hAnsi="Times New Roman" w:cs="Times New Roman"/>
          <w:color w:val="212529"/>
          <w:sz w:val="24"/>
          <w:szCs w:val="24"/>
          <w:lang w:eastAsia="en-IN"/>
        </w:rPr>
      </w:pPr>
      <w:r w:rsidRPr="003E572D">
        <w:rPr>
          <w:rFonts w:ascii="Times New Roman" w:eastAsia="Times New Roman" w:hAnsi="Times New Roman" w:cs="Times New Roman"/>
          <w:color w:val="212529"/>
          <w:sz w:val="24"/>
          <w:szCs w:val="24"/>
          <w:lang w:eastAsia="en-IN"/>
        </w:rPr>
        <w:t>However, the Authority for Advance Ruling Haryana in BMW India (P.) Ltd</w:t>
      </w:r>
      <w:r w:rsidRPr="003E572D">
        <w:rPr>
          <w:rStyle w:val="FootnoteReference"/>
          <w:rFonts w:ascii="Times New Roman" w:eastAsia="Times New Roman" w:hAnsi="Times New Roman" w:cs="Times New Roman"/>
          <w:color w:val="212529"/>
          <w:sz w:val="24"/>
          <w:szCs w:val="24"/>
          <w:lang w:eastAsia="en-IN"/>
        </w:rPr>
        <w:footnoteReference w:id="5"/>
      </w:r>
      <w:r w:rsidRPr="003E572D">
        <w:rPr>
          <w:rFonts w:ascii="Times New Roman" w:eastAsia="Times New Roman" w:hAnsi="Times New Roman" w:cs="Times New Roman"/>
          <w:color w:val="212529"/>
          <w:sz w:val="24"/>
          <w:szCs w:val="24"/>
          <w:lang w:eastAsia="en-IN"/>
        </w:rPr>
        <w:t xml:space="preserve"> ruling found that the items supplied during promotional events organised by the company, including duffle bags, golf bags, t-shirts, caps, and dairy products all embossed with BMW logos, were in the course and furtherance of business, but made the company ineligible to claim ITC due to the bar of clause (h) under section 17 (5). The authority came to the conclusion that:</w:t>
      </w:r>
    </w:p>
    <w:p w14:paraId="73699F45" w14:textId="360FFF98" w:rsidR="002E5773" w:rsidRPr="003E572D" w:rsidRDefault="00F668B1" w:rsidP="003E572D">
      <w:pPr>
        <w:shd w:val="clear" w:color="auto" w:fill="FFFFFF"/>
        <w:spacing w:after="100" w:afterAutospacing="1" w:line="360" w:lineRule="auto"/>
        <w:ind w:left="720"/>
        <w:jc w:val="both"/>
        <w:rPr>
          <w:rFonts w:ascii="Times New Roman" w:eastAsia="Times New Roman" w:hAnsi="Times New Roman" w:cs="Times New Roman"/>
          <w:i/>
          <w:iCs/>
          <w:color w:val="212529"/>
          <w:sz w:val="24"/>
          <w:szCs w:val="24"/>
          <w:lang w:eastAsia="en-IN"/>
        </w:rPr>
      </w:pPr>
      <w:r w:rsidRPr="00F668B1">
        <w:rPr>
          <w:rFonts w:ascii="Times New Roman" w:eastAsia="Times New Roman" w:hAnsi="Times New Roman" w:cs="Times New Roman"/>
          <w:i/>
          <w:iCs/>
          <w:color w:val="212529"/>
          <w:sz w:val="24"/>
          <w:szCs w:val="24"/>
          <w:lang w:eastAsia="en-IN"/>
        </w:rPr>
        <w:t xml:space="preserve">"There is no provision of supply on free of cost basis under the CGST/SGST Act. The supply of goods on free of cost basis might be a part of company’s policy but certainly not in </w:t>
      </w:r>
      <w:r w:rsidRPr="00F668B1">
        <w:rPr>
          <w:rFonts w:ascii="Times New Roman" w:eastAsia="Times New Roman" w:hAnsi="Times New Roman" w:cs="Times New Roman"/>
          <w:i/>
          <w:iCs/>
          <w:color w:val="212529"/>
          <w:sz w:val="24"/>
          <w:szCs w:val="24"/>
          <w:lang w:eastAsia="en-IN"/>
        </w:rPr>
        <w:lastRenderedPageBreak/>
        <w:t>conformity with the provisions of the CGST/SGST Act and a company’s policy cannot override the provisions of law. The items distributed in the promotional events are gifts and section 17(5)(h) bars credit of input tax with respect to gifts made by a registered person."</w:t>
      </w:r>
    </w:p>
    <w:p w14:paraId="2514AC4B" w14:textId="57C7040D" w:rsidR="002E5773" w:rsidRPr="003E572D" w:rsidRDefault="002E5773" w:rsidP="003E572D">
      <w:pPr>
        <w:shd w:val="clear" w:color="auto" w:fill="FFFFFF"/>
        <w:spacing w:after="100" w:afterAutospacing="1" w:line="360" w:lineRule="auto"/>
        <w:jc w:val="both"/>
        <w:rPr>
          <w:rFonts w:ascii="Times New Roman" w:hAnsi="Times New Roman" w:cs="Times New Roman"/>
          <w:b/>
          <w:bCs/>
          <w:sz w:val="24"/>
          <w:szCs w:val="24"/>
        </w:rPr>
      </w:pPr>
      <w:r w:rsidRPr="003E572D">
        <w:rPr>
          <w:rFonts w:ascii="Times New Roman" w:hAnsi="Times New Roman" w:cs="Times New Roman"/>
          <w:b/>
          <w:bCs/>
          <w:sz w:val="24"/>
          <w:szCs w:val="24"/>
        </w:rPr>
        <w:t>T</w:t>
      </w:r>
      <w:r w:rsidR="00147897" w:rsidRPr="003E572D">
        <w:rPr>
          <w:rFonts w:ascii="Times New Roman" w:hAnsi="Times New Roman" w:cs="Times New Roman"/>
          <w:b/>
          <w:bCs/>
          <w:sz w:val="24"/>
          <w:szCs w:val="24"/>
        </w:rPr>
        <w:t>he Machinery of Tax under the New Era of GST</w:t>
      </w:r>
      <w:r w:rsidRPr="003E572D">
        <w:rPr>
          <w:rFonts w:ascii="Times New Roman" w:hAnsi="Times New Roman" w:cs="Times New Roman"/>
          <w:b/>
          <w:bCs/>
          <w:sz w:val="24"/>
          <w:szCs w:val="24"/>
        </w:rPr>
        <w:t xml:space="preserve"> </w:t>
      </w:r>
    </w:p>
    <w:p w14:paraId="29C24BDE" w14:textId="289724DF" w:rsidR="00CE3867" w:rsidRPr="003E572D" w:rsidRDefault="00CE3867" w:rsidP="003E572D">
      <w:p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GST is being implemented as part of continuing tax reforms. Since independence, the Goods and Services Tax has been the single most significant tax reform. All goods and services are subject to this tax. It takes the place of the complicated goods and services levy imposed at the federal and state levels. The new GST would combine the indirect national and state levies described above into a single tax. A four-tiered pricing system of 5, 12, 18, and 28 percent will be implemented. While necessities will be taxed at 5% and luxury and consumer durable products will be taxed at 28%, the majority of goods and services will be taxed at the usual rates of either 12 or 18%. By establishing the final tax rate, the GST aims to reduce the compounding effect of the current multi-layered tax system as well as cross-state tax heterogeneity.</w:t>
      </w:r>
      <w:r w:rsidRPr="003E572D">
        <w:rPr>
          <w:rStyle w:val="FootnoteReference"/>
          <w:rFonts w:ascii="Times New Roman" w:hAnsi="Times New Roman" w:cs="Times New Roman"/>
          <w:sz w:val="24"/>
          <w:szCs w:val="24"/>
        </w:rPr>
        <w:footnoteReference w:id="6"/>
      </w:r>
    </w:p>
    <w:p w14:paraId="593B5B7B" w14:textId="0D2BDA4C" w:rsidR="002E5773" w:rsidRPr="003E572D" w:rsidRDefault="00147897" w:rsidP="003E572D">
      <w:pPr>
        <w:shd w:val="clear" w:color="auto" w:fill="FFFFFF"/>
        <w:spacing w:after="100" w:afterAutospacing="1" w:line="360" w:lineRule="auto"/>
        <w:jc w:val="both"/>
        <w:rPr>
          <w:rFonts w:ascii="Times New Roman" w:hAnsi="Times New Roman" w:cs="Times New Roman"/>
          <w:b/>
          <w:bCs/>
          <w:sz w:val="24"/>
          <w:szCs w:val="24"/>
        </w:rPr>
      </w:pPr>
      <w:r w:rsidRPr="003E572D">
        <w:rPr>
          <w:rFonts w:ascii="Times New Roman" w:hAnsi="Times New Roman" w:cs="Times New Roman"/>
          <w:b/>
          <w:bCs/>
          <w:sz w:val="24"/>
          <w:szCs w:val="24"/>
        </w:rPr>
        <w:t>GST’s Timeline &amp; History</w:t>
      </w:r>
      <w:r w:rsidR="00CE3867" w:rsidRPr="003E572D">
        <w:rPr>
          <w:rStyle w:val="FootnoteReference"/>
          <w:rFonts w:ascii="Times New Roman" w:hAnsi="Times New Roman" w:cs="Times New Roman"/>
          <w:b/>
          <w:bCs/>
          <w:sz w:val="24"/>
          <w:szCs w:val="24"/>
        </w:rPr>
        <w:footnoteReference w:id="7"/>
      </w:r>
    </w:p>
    <w:p w14:paraId="4D730A86" w14:textId="4E422F7B"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 xml:space="preserve">February 1986: In the 1986-87 budget, Finance Minister Shri Vishwanath Pratap Singh proposes a substantial revamp of the excise </w:t>
      </w:r>
      <w:r w:rsidR="009601E7" w:rsidRPr="003E572D">
        <w:rPr>
          <w:rFonts w:ascii="Times New Roman" w:hAnsi="Times New Roman" w:cs="Times New Roman"/>
          <w:sz w:val="24"/>
          <w:szCs w:val="24"/>
        </w:rPr>
        <w:t>tax’s</w:t>
      </w:r>
      <w:r w:rsidRPr="003E572D">
        <w:rPr>
          <w:rFonts w:ascii="Times New Roman" w:hAnsi="Times New Roman" w:cs="Times New Roman"/>
          <w:sz w:val="24"/>
          <w:szCs w:val="24"/>
        </w:rPr>
        <w:t xml:space="preserve"> structure.</w:t>
      </w:r>
    </w:p>
    <w:p w14:paraId="490E064E"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 xml:space="preserve">2000: Prime Minister Shri Atal Bihari </w:t>
      </w:r>
      <w:proofErr w:type="spellStart"/>
      <w:r w:rsidRPr="003E572D">
        <w:rPr>
          <w:rFonts w:ascii="Times New Roman" w:hAnsi="Times New Roman" w:cs="Times New Roman"/>
          <w:sz w:val="24"/>
          <w:szCs w:val="24"/>
        </w:rPr>
        <w:t>Vajpyee</w:t>
      </w:r>
      <w:proofErr w:type="spellEnd"/>
      <w:r w:rsidRPr="003E572D">
        <w:rPr>
          <w:rFonts w:ascii="Times New Roman" w:hAnsi="Times New Roman" w:cs="Times New Roman"/>
          <w:sz w:val="24"/>
          <w:szCs w:val="24"/>
        </w:rPr>
        <w:t xml:space="preserve"> presents the notion and a committee led by Shri Asim Dasgupta, then-West Bengal Finance Minister, is formed to establish a GST model.</w:t>
      </w:r>
    </w:p>
    <w:p w14:paraId="371426EE"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2003: The Vajpayee administration appoints Shri Vijay Kelkar to lead a task team to recommend tax reforms.</w:t>
      </w:r>
    </w:p>
    <w:p w14:paraId="352B4BF5"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2004: Shri Vijay Kelkar, then-advisor to the Finance Ministry, proposes that the existing tax framework be replaced with GST.</w:t>
      </w:r>
    </w:p>
    <w:p w14:paraId="307D35A6"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 xml:space="preserve">February 28, 2006: For the first time, GST is mentioned in the Budget Speech; Finance Minister Shri P Chidambaram sets an ambitious timetable of April 1, 2010 for GST </w:t>
      </w:r>
      <w:r w:rsidRPr="003E572D">
        <w:rPr>
          <w:rFonts w:ascii="Times New Roman" w:hAnsi="Times New Roman" w:cs="Times New Roman"/>
          <w:sz w:val="24"/>
          <w:szCs w:val="24"/>
        </w:rPr>
        <w:lastRenderedPageBreak/>
        <w:t>implementation. He claims that the Finance Ministers' Empowered Committee will produce a GST road map.</w:t>
      </w:r>
    </w:p>
    <w:p w14:paraId="797C6030"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The Empowered Committee of State Finance Ministers was established in 2008.</w:t>
      </w:r>
    </w:p>
    <w:p w14:paraId="10DE9035"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The Empowered Committee submits a report to the government titled "A Model and Roadmap Goods and Services Tax (GST) in India" on April 30, 2008.</w:t>
      </w:r>
    </w:p>
    <w:p w14:paraId="68F1D889"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On November 10, 2009, the Empowered Committee publishes a discussion paper on the GST welcoming debate in the public domain.</w:t>
      </w:r>
    </w:p>
    <w:p w14:paraId="08FC520D"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2009: Finance Minister Shri Pranab Mukherjee introduces the GST's fundamental framework, as devised by the Dasgupta committee; the 2010 deadline is maintained.</w:t>
      </w:r>
    </w:p>
    <w:p w14:paraId="18DD2D2A"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February 2010: The Finance Ministry begins mission-mode computerization of commercial taxes in states, laying the groundwork for the GST implementation. GST is postponed until April 1, 2011, according to Shri Pranab Mukherjee.</w:t>
      </w:r>
    </w:p>
    <w:p w14:paraId="0D528DA3"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UPA-II introduces the 115th Constitution Amendment Bill in the Lok Sabha on March 22, 2011, to implement GST.</w:t>
      </w:r>
    </w:p>
    <w:p w14:paraId="42339462"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The GST Bill was referred to the Parliamentary Standing Committee on Finance, which is chaired by Shri Yashwant Sinha, on March 29, 2011. Shri Asim Dasgupta resigns and is replaced by KM Mani, the former Kerala Finance Minister.</w:t>
      </w:r>
    </w:p>
    <w:p w14:paraId="6646FB36"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November 2012: Finance Minister Shri P Chidambaram meets with state finance ministers and determines to settle all issues in time for the GST rollout on December 31, 2012.</w:t>
      </w:r>
    </w:p>
    <w:p w14:paraId="5A98FF12"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February 2013: Declaring the UPA government's commitment to implementing GST, Shri Chidambaram sets a provision in his Budget address for Rs. 9,000 crore to reimburse states for GST-related losses.</w:t>
      </w:r>
    </w:p>
    <w:p w14:paraId="001ABBED"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August 2013: A Parliamentary standing committee publishes a report to the House of Commons proposing GST reforms. The GST Bill is getting set to be introduced in Parliament.</w:t>
      </w:r>
    </w:p>
    <w:p w14:paraId="7C1CF4B3"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2014: The Standing Committee's approval of the GST Bill lapses as the Lok Sabha dissolves, and the BJP-led NDA government takes power.</w:t>
      </w:r>
    </w:p>
    <w:p w14:paraId="7A62553E"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The Cabinet passes the 122nd Constitution Amendment Bill to GST on December 18, 2014.</w:t>
      </w:r>
    </w:p>
    <w:p w14:paraId="425C3F37"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The Congress raises objections to Finance Minister Shri Arun Jaitley's introduction of the Constitution (122nd) Amendment Bill in the Lok Sabha on December 19, 2014.</w:t>
      </w:r>
    </w:p>
    <w:p w14:paraId="180F36FD"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lastRenderedPageBreak/>
        <w:t>February 2015: Shri Jaitley announces that the GST will be implemented on April 1, 2016.</w:t>
      </w:r>
    </w:p>
    <w:p w14:paraId="1EBE17D9"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The GST Constitutional Amendment Bill is passed by the Lok Sabha on May 6, 2015.</w:t>
      </w:r>
    </w:p>
    <w:p w14:paraId="73F15171"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The Amendment Bill was introduced in the Rajya Sabha on May 12, 2015.</w:t>
      </w:r>
    </w:p>
    <w:p w14:paraId="730AE0E6"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The GST Bill was sent to a joint committee of the Rajya Sabha and the Lok Sabha on May 14, 2015.</w:t>
      </w:r>
    </w:p>
    <w:p w14:paraId="292F706D"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The Rajya Sabha passes the Constitution Amendment Bill by a two-thirds majority on August 3, 2016.</w:t>
      </w:r>
    </w:p>
    <w:p w14:paraId="67511E85"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September 2, 2016: The GST Bill is ratified by 16 states, and President Pranab Mukherjee signs it into law.</w:t>
      </w:r>
    </w:p>
    <w:p w14:paraId="67623B4B"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On September 12th, the Union Cabinet approves the formation of the GST Council.</w:t>
      </w:r>
    </w:p>
    <w:p w14:paraId="30B0E663"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The Council meets for the first time on September 22nd and 23rd of this year.</w:t>
      </w:r>
    </w:p>
    <w:p w14:paraId="29E589C7"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GST Council agrees on four tax slabs of 5, 12, 18, and 28 percent, as well as an additional cess on luxury and sin goods, on November 3rd.</w:t>
      </w:r>
    </w:p>
    <w:p w14:paraId="69CACC6B"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GST Council finalises draught compensation bill to compensate states for revenue losses in the first five years of GST implementation.</w:t>
      </w:r>
    </w:p>
    <w:p w14:paraId="011CF71B"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CGST and Integrated-GST bills are approved by the GST Council on March 4th of each year.</w:t>
      </w:r>
    </w:p>
    <w:p w14:paraId="6CDBA9E2"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Cabinet passed the CGST, IGST, and UT GST and Compensation bills on March 20th of this year.</w:t>
      </w:r>
    </w:p>
    <w:p w14:paraId="7ACFFA9D"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On March 27th, Jaitley introduces bills in Parliament for the CGST, IGST, UT GST, and Compensation. All four essential GST Bills — Central GST (CGST), Integrated GST (IGST), State GST (SGST), and Union Territory GST — are passed by the Lok Sabha and Rajya Sabha (UTGST).</w:t>
      </w:r>
    </w:p>
    <w:p w14:paraId="75A1AFC0"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May 18th, 2018: The GST Council classifies nearly 1,200 items into one of four tax brackets: 5, 12, 18, or 28 percent. Over 80% of mass-market goods are either exempt or taxed at a rate of less than 5%.</w:t>
      </w:r>
    </w:p>
    <w:p w14:paraId="737884A6"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The GST Council establishes a cess on luxury and sin goods in order to build a fund to compensate states.</w:t>
      </w:r>
    </w:p>
    <w:p w14:paraId="62D493EA"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May 19th, the GST Council agrees on service tax slabs of 5, 12, 18, and 28 percent.</w:t>
      </w:r>
    </w:p>
    <w:p w14:paraId="001B7299" w14:textId="77777777"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Except for Jammu and Kashmir, all states adopt the SGST law on June 21st.</w:t>
      </w:r>
    </w:p>
    <w:p w14:paraId="06C71C38" w14:textId="38081194" w:rsidR="00CE3867" w:rsidRPr="003E572D" w:rsidRDefault="00CE3867" w:rsidP="003E572D">
      <w:pPr>
        <w:pStyle w:val="ListParagraph"/>
        <w:numPr>
          <w:ilvl w:val="0"/>
          <w:numId w:val="9"/>
        </w:numPr>
        <w:shd w:val="clear" w:color="auto" w:fill="FFFFFF"/>
        <w:spacing w:after="100" w:afterAutospacing="1" w:line="360" w:lineRule="auto"/>
        <w:jc w:val="both"/>
        <w:rPr>
          <w:rFonts w:ascii="Times New Roman" w:hAnsi="Times New Roman" w:cs="Times New Roman"/>
          <w:sz w:val="24"/>
          <w:szCs w:val="24"/>
        </w:rPr>
      </w:pPr>
      <w:r w:rsidRPr="003E572D">
        <w:rPr>
          <w:rFonts w:ascii="Times New Roman" w:hAnsi="Times New Roman" w:cs="Times New Roman"/>
          <w:sz w:val="24"/>
          <w:szCs w:val="24"/>
        </w:rPr>
        <w:t>At 12 a.m. on June 30th, the GST implemented.</w:t>
      </w:r>
    </w:p>
    <w:p w14:paraId="065D9585" w14:textId="1ECD48DB" w:rsidR="00F668B1" w:rsidRPr="00F668B1" w:rsidRDefault="00F668B1" w:rsidP="003E572D">
      <w:pPr>
        <w:shd w:val="clear" w:color="auto" w:fill="FFFFFF"/>
        <w:spacing w:after="100" w:afterAutospacing="1" w:line="360" w:lineRule="auto"/>
        <w:jc w:val="both"/>
        <w:rPr>
          <w:rFonts w:ascii="Times New Roman" w:eastAsia="Times New Roman" w:hAnsi="Times New Roman" w:cs="Times New Roman"/>
          <w:b/>
          <w:bCs/>
          <w:color w:val="212529"/>
          <w:sz w:val="24"/>
          <w:szCs w:val="24"/>
          <w:lang w:eastAsia="en-IN"/>
        </w:rPr>
      </w:pPr>
      <w:r w:rsidRPr="00F668B1">
        <w:rPr>
          <w:rFonts w:ascii="Times New Roman" w:eastAsia="Times New Roman" w:hAnsi="Times New Roman" w:cs="Times New Roman"/>
          <w:b/>
          <w:bCs/>
          <w:color w:val="212529"/>
          <w:sz w:val="24"/>
          <w:szCs w:val="24"/>
          <w:lang w:eastAsia="en-IN"/>
        </w:rPr>
        <w:lastRenderedPageBreak/>
        <w:t xml:space="preserve">M/s Page Industries </w:t>
      </w:r>
      <w:r w:rsidR="00C538E5" w:rsidRPr="003E572D">
        <w:rPr>
          <w:rFonts w:ascii="Times New Roman" w:eastAsia="Times New Roman" w:hAnsi="Times New Roman" w:cs="Times New Roman"/>
          <w:b/>
          <w:bCs/>
          <w:color w:val="212529"/>
          <w:sz w:val="24"/>
          <w:szCs w:val="24"/>
          <w:lang w:eastAsia="en-IN"/>
        </w:rPr>
        <w:t>Judgement</w:t>
      </w:r>
      <w:r w:rsidRPr="00F668B1">
        <w:rPr>
          <w:rFonts w:ascii="Times New Roman" w:eastAsia="Times New Roman" w:hAnsi="Times New Roman" w:cs="Times New Roman"/>
          <w:b/>
          <w:bCs/>
          <w:color w:val="212529"/>
          <w:sz w:val="24"/>
          <w:szCs w:val="24"/>
          <w:lang w:eastAsia="en-IN"/>
        </w:rPr>
        <w:t>:</w:t>
      </w:r>
      <w:r w:rsidR="00C538E5" w:rsidRPr="003E572D">
        <w:rPr>
          <w:rStyle w:val="FootnoteReference"/>
          <w:rFonts w:ascii="Times New Roman" w:eastAsia="Times New Roman" w:hAnsi="Times New Roman" w:cs="Times New Roman"/>
          <w:b/>
          <w:bCs/>
          <w:color w:val="212529"/>
          <w:sz w:val="24"/>
          <w:szCs w:val="24"/>
          <w:lang w:eastAsia="en-IN"/>
        </w:rPr>
        <w:footnoteReference w:id="8"/>
      </w:r>
    </w:p>
    <w:p w14:paraId="1951C086" w14:textId="77777777" w:rsidR="00C538E5" w:rsidRPr="003E572D" w:rsidRDefault="00C538E5" w:rsidP="003E572D">
      <w:pPr>
        <w:spacing w:line="360" w:lineRule="auto"/>
        <w:jc w:val="both"/>
        <w:rPr>
          <w:rFonts w:ascii="Times New Roman" w:hAnsi="Times New Roman" w:cs="Times New Roman"/>
          <w:sz w:val="24"/>
          <w:szCs w:val="24"/>
        </w:rPr>
      </w:pPr>
      <w:r w:rsidRPr="003E572D">
        <w:rPr>
          <w:rFonts w:ascii="Times New Roman" w:hAnsi="Times New Roman" w:cs="Times New Roman"/>
          <w:sz w:val="24"/>
          <w:szCs w:val="24"/>
        </w:rPr>
        <w:t>The two judgements discussed above took opposing views on whether or not the distribution of goods qualifies as a gift. The decision of the Advance Authority of Karnataka in the advance ruing requested by M/s Page Industries has provided some clarification. The applicant is having marketing items such as carry bags, table calendars, wall calendars, dairy, leather bags with embossing of their brand and wooden pens with brand engraving manufactured in order to promote and market their brand, and on receipt of the same, the applicant is discharging the GST. To promote the brand and products, the applicant is delivering such marketing items to its distributors/dealers.</w:t>
      </w:r>
    </w:p>
    <w:p w14:paraId="4DD160C6" w14:textId="5DA8F122" w:rsidR="007915CD" w:rsidRPr="003E572D" w:rsidRDefault="00C538E5" w:rsidP="003E572D">
      <w:pPr>
        <w:spacing w:line="360" w:lineRule="auto"/>
        <w:jc w:val="both"/>
        <w:rPr>
          <w:rFonts w:ascii="Times New Roman" w:hAnsi="Times New Roman" w:cs="Times New Roman"/>
          <w:sz w:val="24"/>
          <w:szCs w:val="24"/>
        </w:rPr>
      </w:pPr>
      <w:r w:rsidRPr="003E572D">
        <w:rPr>
          <w:rFonts w:ascii="Times New Roman" w:hAnsi="Times New Roman" w:cs="Times New Roman"/>
          <w:sz w:val="24"/>
          <w:szCs w:val="24"/>
        </w:rPr>
        <w:t>The ITC on GST paid on procurement products that are given to distributors and franchisees is allowed as the specified distribution amount to supply to connected parties who are GST qualified, according to the Authority. Furthermore, as per Section 17(5) of the GST Acts, the abovementioned distribution to the retailers for their use cannot be claimed as free presents to the retailers or their customers, and thus ITC of GST paid on such procurement is not authorised. The decision authority further stated that the GST paid on the purchase of "non-distributable" items such as banners, hoardings, display refrigerators, and other "non-distributable" items qualifies as capital goods rather than "inputs," and therefore the firm is qualified to claim ITC on their purchase.</w:t>
      </w:r>
    </w:p>
    <w:p w14:paraId="62DF851F" w14:textId="77777777" w:rsidR="003C66BF" w:rsidRPr="003E572D" w:rsidRDefault="003C66BF" w:rsidP="003E572D">
      <w:pPr>
        <w:spacing w:line="360" w:lineRule="auto"/>
        <w:jc w:val="both"/>
        <w:rPr>
          <w:rFonts w:ascii="Times New Roman" w:hAnsi="Times New Roman" w:cs="Times New Roman"/>
          <w:b/>
          <w:bCs/>
          <w:sz w:val="24"/>
          <w:szCs w:val="24"/>
        </w:rPr>
      </w:pPr>
      <w:r w:rsidRPr="003E572D">
        <w:rPr>
          <w:rFonts w:ascii="Times New Roman" w:hAnsi="Times New Roman" w:cs="Times New Roman"/>
          <w:b/>
          <w:bCs/>
          <w:sz w:val="24"/>
          <w:szCs w:val="24"/>
        </w:rPr>
        <w:t xml:space="preserve">CONCLUSION </w:t>
      </w:r>
    </w:p>
    <w:p w14:paraId="35379213" w14:textId="310B90CD" w:rsidR="003C66BF" w:rsidRPr="003E572D" w:rsidRDefault="003C66BF" w:rsidP="003E572D">
      <w:pPr>
        <w:spacing w:line="360" w:lineRule="auto"/>
        <w:jc w:val="both"/>
        <w:rPr>
          <w:rFonts w:ascii="Times New Roman" w:hAnsi="Times New Roman" w:cs="Times New Roman"/>
          <w:sz w:val="24"/>
          <w:szCs w:val="24"/>
        </w:rPr>
      </w:pPr>
      <w:r w:rsidRPr="003E572D">
        <w:rPr>
          <w:rFonts w:ascii="Times New Roman" w:hAnsi="Times New Roman" w:cs="Times New Roman"/>
          <w:sz w:val="24"/>
          <w:szCs w:val="24"/>
        </w:rPr>
        <w:t xml:space="preserve">Due to dissolvent environment of Indian economy, it is demand of time to implement GST. Consumption and productions of goods and services is undoubtedly increasing and because of multiplicity of taxes in current tax regime administration complexities and compliance cost is also accelerating. Thus, a simple, user -friendly and transparent tax system is required which can be fulfilled by implementation of GST. Its implementation stands for a coherent tax system which will colligate most of current indirect taxes and in long term it will lead to higher output, more employment opportunities and flourish GDP by 1-1.5%. It can also be used as an effective tool for fiscal policy management if implemented successfully due to nation-wide same tax rate. It execution will also results in lower cost of doing business that will make the domestic products </w:t>
      </w:r>
      <w:r w:rsidRPr="003E572D">
        <w:rPr>
          <w:rFonts w:ascii="Times New Roman" w:hAnsi="Times New Roman" w:cs="Times New Roman"/>
          <w:sz w:val="24"/>
          <w:szCs w:val="24"/>
        </w:rPr>
        <w:lastRenderedPageBreak/>
        <w:t>more competitive in local and international market. No doubt that GST will give India a world class tax system by grabbing different treatment to manufacturing and service sector. But all this will be subject to its rational design and timely implementation. There are various challenges in way of GST implementation as discussed above in paper. They need more analytical research to resolve the battling interest of various stake holders and accomplish the commitment for a cardinal reform of tax structure in India.</w:t>
      </w:r>
    </w:p>
    <w:sectPr w:rsidR="003C66BF" w:rsidRPr="003E572D">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49758A" w14:textId="77777777" w:rsidR="005901B3" w:rsidRDefault="005901B3" w:rsidP="00F668B1">
      <w:pPr>
        <w:spacing w:after="0" w:line="240" w:lineRule="auto"/>
      </w:pPr>
      <w:r>
        <w:separator/>
      </w:r>
    </w:p>
  </w:endnote>
  <w:endnote w:type="continuationSeparator" w:id="0">
    <w:p w14:paraId="5A21CE02" w14:textId="77777777" w:rsidR="005901B3" w:rsidRDefault="005901B3" w:rsidP="00F668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DA7B2E" w14:textId="77777777" w:rsidR="005901B3" w:rsidRDefault="005901B3" w:rsidP="00F668B1">
      <w:pPr>
        <w:spacing w:after="0" w:line="240" w:lineRule="auto"/>
      </w:pPr>
      <w:r>
        <w:separator/>
      </w:r>
    </w:p>
  </w:footnote>
  <w:footnote w:type="continuationSeparator" w:id="0">
    <w:p w14:paraId="119EC316" w14:textId="77777777" w:rsidR="005901B3" w:rsidRDefault="005901B3" w:rsidP="00F668B1">
      <w:pPr>
        <w:spacing w:after="0" w:line="240" w:lineRule="auto"/>
      </w:pPr>
      <w:r>
        <w:continuationSeparator/>
      </w:r>
    </w:p>
  </w:footnote>
  <w:footnote w:id="1">
    <w:p w14:paraId="0F5A5E2B" w14:textId="0E6FC94E" w:rsidR="00F668B1" w:rsidRPr="00F668B1" w:rsidRDefault="00F668B1">
      <w:pPr>
        <w:pStyle w:val="FootnoteText"/>
        <w:rPr>
          <w:lang w:val="en-US"/>
        </w:rPr>
      </w:pPr>
      <w:r>
        <w:rPr>
          <w:rStyle w:val="FootnoteReference"/>
        </w:rPr>
        <w:footnoteRef/>
      </w:r>
      <w:r>
        <w:t xml:space="preserve"> </w:t>
      </w:r>
      <w:r w:rsidR="00C538E5">
        <w:rPr>
          <w:rFonts w:ascii="Lato" w:hAnsi="Lato"/>
          <w:color w:val="212529"/>
          <w:shd w:val="clear" w:color="auto" w:fill="FFFFFF"/>
        </w:rPr>
        <w:t>MANU/GJ/1053/2011</w:t>
      </w:r>
    </w:p>
  </w:footnote>
  <w:footnote w:id="2">
    <w:p w14:paraId="626D70C3" w14:textId="1A7EFFC6" w:rsidR="00C538E5" w:rsidRPr="00C538E5" w:rsidRDefault="00C538E5">
      <w:pPr>
        <w:pStyle w:val="FootnoteText"/>
        <w:rPr>
          <w:lang w:val="en-US"/>
        </w:rPr>
      </w:pPr>
      <w:r>
        <w:rPr>
          <w:rStyle w:val="FootnoteReference"/>
        </w:rPr>
        <w:footnoteRef/>
      </w:r>
      <w:r>
        <w:t xml:space="preserve"> </w:t>
      </w:r>
      <w:r w:rsidR="00130254">
        <w:rPr>
          <w:rFonts w:ascii="Lato" w:hAnsi="Lato"/>
          <w:color w:val="212529"/>
          <w:shd w:val="clear" w:color="auto" w:fill="FFFFFF"/>
        </w:rPr>
        <w:t>MANU/AR/0169/2019, MAH/AAAR/SS-RJ/10/2019</w:t>
      </w:r>
    </w:p>
  </w:footnote>
  <w:footnote w:id="3">
    <w:p w14:paraId="71160926" w14:textId="6EAC71F9" w:rsidR="005F6402" w:rsidRPr="005F6402" w:rsidRDefault="005F6402">
      <w:pPr>
        <w:pStyle w:val="FootnoteText"/>
        <w:rPr>
          <w:lang w:val="en-US"/>
        </w:rPr>
      </w:pPr>
      <w:r>
        <w:rPr>
          <w:rStyle w:val="FootnoteReference"/>
        </w:rPr>
        <w:footnoteRef/>
      </w:r>
      <w:r>
        <w:t xml:space="preserve"> </w:t>
      </w:r>
      <w:r>
        <w:rPr>
          <w:lang w:val="en-US"/>
        </w:rPr>
        <w:t>Ibid.</w:t>
      </w:r>
    </w:p>
  </w:footnote>
  <w:footnote w:id="4">
    <w:p w14:paraId="1ADFE3FD" w14:textId="1C277A52" w:rsidR="00C538E5" w:rsidRPr="00C538E5" w:rsidRDefault="00C538E5">
      <w:pPr>
        <w:pStyle w:val="FootnoteText"/>
        <w:rPr>
          <w:lang w:val="en-US"/>
        </w:rPr>
      </w:pPr>
      <w:r>
        <w:rPr>
          <w:rStyle w:val="FootnoteReference"/>
        </w:rPr>
        <w:footnoteRef/>
      </w:r>
      <w:r>
        <w:t xml:space="preserve"> </w:t>
      </w:r>
      <w:r w:rsidR="00130254">
        <w:rPr>
          <w:rFonts w:ascii="Lato" w:hAnsi="Lato"/>
          <w:color w:val="212529"/>
          <w:shd w:val="clear" w:color="auto" w:fill="FFFFFF"/>
        </w:rPr>
        <w:t>MANU/SC/0363/1981/ 1981 (3) TMI 250- Supreme Court</w:t>
      </w:r>
    </w:p>
  </w:footnote>
  <w:footnote w:id="5">
    <w:p w14:paraId="23F12CDF" w14:textId="30BC7E61" w:rsidR="00C538E5" w:rsidRPr="00C538E5" w:rsidRDefault="00C538E5">
      <w:pPr>
        <w:pStyle w:val="FootnoteText"/>
        <w:rPr>
          <w:lang w:val="en-US"/>
        </w:rPr>
      </w:pPr>
      <w:r>
        <w:rPr>
          <w:rStyle w:val="FootnoteReference"/>
        </w:rPr>
        <w:footnoteRef/>
      </w:r>
      <w:r>
        <w:t xml:space="preserve"> </w:t>
      </w:r>
      <w:r w:rsidR="00130254">
        <w:rPr>
          <w:rFonts w:ascii="Lato" w:hAnsi="Lato"/>
          <w:color w:val="212529"/>
          <w:shd w:val="clear" w:color="auto" w:fill="FFFFFF"/>
        </w:rPr>
        <w:t>MANU/AR/0620/2019/ HAR/HAAR/R/2018-19/49</w:t>
      </w:r>
    </w:p>
  </w:footnote>
  <w:footnote w:id="6">
    <w:p w14:paraId="496E5986" w14:textId="74F739B1" w:rsidR="00CE3867" w:rsidRPr="00CE3867" w:rsidRDefault="00CE3867">
      <w:pPr>
        <w:pStyle w:val="FootnoteText"/>
        <w:rPr>
          <w:lang w:val="en-US"/>
        </w:rPr>
      </w:pPr>
      <w:r>
        <w:rPr>
          <w:rStyle w:val="FootnoteReference"/>
        </w:rPr>
        <w:footnoteRef/>
      </w:r>
      <w:r>
        <w:t xml:space="preserve"> </w:t>
      </w:r>
      <w:r w:rsidR="009601E7">
        <w:t>The tax system retained the dual system, that is, the GST is to be split into a Central GST (CGST) and the State GST (SGST). This implies that both the central and state government each collect taxes at half of the overall GST rate.</w:t>
      </w:r>
    </w:p>
  </w:footnote>
  <w:footnote w:id="7">
    <w:p w14:paraId="318710B5" w14:textId="51179DE4" w:rsidR="00CE3867" w:rsidRPr="00CE3867" w:rsidRDefault="00CE3867">
      <w:pPr>
        <w:pStyle w:val="FootnoteText"/>
        <w:rPr>
          <w:lang w:val="en-US"/>
        </w:rPr>
      </w:pPr>
      <w:r>
        <w:rPr>
          <w:rStyle w:val="FootnoteReference"/>
        </w:rPr>
        <w:footnoteRef/>
      </w:r>
      <w:r>
        <w:t xml:space="preserve"> </w:t>
      </w:r>
      <w:r w:rsidR="009601E7">
        <w:t>6http://www.thehindubusinessline.com/economy/gsts -17year-timeline/article9743284.ece</w:t>
      </w:r>
    </w:p>
  </w:footnote>
  <w:footnote w:id="8">
    <w:p w14:paraId="5355AD35" w14:textId="75403EB9" w:rsidR="00C538E5" w:rsidRPr="00C538E5" w:rsidRDefault="00C538E5">
      <w:pPr>
        <w:pStyle w:val="FootnoteText"/>
        <w:rPr>
          <w:lang w:val="en-US"/>
        </w:rPr>
      </w:pPr>
      <w:r>
        <w:rPr>
          <w:rStyle w:val="FootnoteReference"/>
        </w:rPr>
        <w:footnoteRef/>
      </w:r>
      <w:r>
        <w:t xml:space="preserve"> </w:t>
      </w:r>
      <w:r w:rsidR="00130254">
        <w:rPr>
          <w:rFonts w:ascii="Lato" w:hAnsi="Lato"/>
          <w:color w:val="212529"/>
          <w:shd w:val="clear" w:color="auto" w:fill="FFFFFF"/>
        </w:rPr>
        <w:t>KAR/AAAR/05/2021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CF0FF8"/>
    <w:multiLevelType w:val="hybridMultilevel"/>
    <w:tmpl w:val="8774F0B2"/>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227222C8"/>
    <w:multiLevelType w:val="multilevel"/>
    <w:tmpl w:val="1A1E7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655EFF"/>
    <w:multiLevelType w:val="hybridMultilevel"/>
    <w:tmpl w:val="344E0F4E"/>
    <w:lvl w:ilvl="0" w:tplc="4009001B">
      <w:start w:val="1"/>
      <w:numFmt w:val="lowerRoman"/>
      <w:lvlText w:val="%1."/>
      <w:lvlJc w:val="righ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8112136"/>
    <w:multiLevelType w:val="hybridMultilevel"/>
    <w:tmpl w:val="9F1EE2EA"/>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A90742E"/>
    <w:multiLevelType w:val="hybridMultilevel"/>
    <w:tmpl w:val="E8C0D398"/>
    <w:lvl w:ilvl="0" w:tplc="40090015">
      <w:start w:val="1"/>
      <w:numFmt w:val="upperLetter"/>
      <w:lvlText w:val="%1."/>
      <w:lvlJc w:val="left"/>
      <w:pPr>
        <w:ind w:left="720" w:hanging="360"/>
      </w:pPr>
    </w:lvl>
    <w:lvl w:ilvl="1" w:tplc="2D706FFE">
      <w:numFmt w:val="bullet"/>
      <w:lvlText w:val="•"/>
      <w:lvlJc w:val="left"/>
      <w:pPr>
        <w:ind w:left="1440" w:hanging="360"/>
      </w:pPr>
      <w:rPr>
        <w:rFonts w:ascii="Calibri" w:eastAsiaTheme="minorHAnsi" w:hAnsi="Calibri" w:cs="Calibri"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3F7069E3"/>
    <w:multiLevelType w:val="hybridMultilevel"/>
    <w:tmpl w:val="136C856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7CC29CB"/>
    <w:multiLevelType w:val="hybridMultilevel"/>
    <w:tmpl w:val="2182EDE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548651A0"/>
    <w:multiLevelType w:val="hybridMultilevel"/>
    <w:tmpl w:val="E4A09484"/>
    <w:lvl w:ilvl="0" w:tplc="40090001">
      <w:start w:val="1"/>
      <w:numFmt w:val="bullet"/>
      <w:lvlText w:val=""/>
      <w:lvlJc w:val="left"/>
      <w:rPr>
        <w:rFonts w:ascii="Symbol" w:hAnsi="Symbol" w:hint="default"/>
      </w:rPr>
    </w:lvl>
    <w:lvl w:ilvl="1" w:tplc="40090003" w:tentative="1">
      <w:start w:val="1"/>
      <w:numFmt w:val="bullet"/>
      <w:lvlText w:val="o"/>
      <w:lvlJc w:val="left"/>
      <w:pPr>
        <w:ind w:left="1799" w:hanging="360"/>
      </w:pPr>
      <w:rPr>
        <w:rFonts w:ascii="Courier New" w:hAnsi="Courier New" w:cs="Courier New" w:hint="default"/>
      </w:rPr>
    </w:lvl>
    <w:lvl w:ilvl="2" w:tplc="40090005" w:tentative="1">
      <w:start w:val="1"/>
      <w:numFmt w:val="bullet"/>
      <w:lvlText w:val=""/>
      <w:lvlJc w:val="left"/>
      <w:pPr>
        <w:ind w:left="2519" w:hanging="360"/>
      </w:pPr>
      <w:rPr>
        <w:rFonts w:ascii="Wingdings" w:hAnsi="Wingdings" w:hint="default"/>
      </w:rPr>
    </w:lvl>
    <w:lvl w:ilvl="3" w:tplc="40090001" w:tentative="1">
      <w:start w:val="1"/>
      <w:numFmt w:val="bullet"/>
      <w:lvlText w:val=""/>
      <w:lvlJc w:val="left"/>
      <w:pPr>
        <w:ind w:left="3239" w:hanging="360"/>
      </w:pPr>
      <w:rPr>
        <w:rFonts w:ascii="Symbol" w:hAnsi="Symbol" w:hint="default"/>
      </w:rPr>
    </w:lvl>
    <w:lvl w:ilvl="4" w:tplc="40090003" w:tentative="1">
      <w:start w:val="1"/>
      <w:numFmt w:val="bullet"/>
      <w:lvlText w:val="o"/>
      <w:lvlJc w:val="left"/>
      <w:pPr>
        <w:ind w:left="3959" w:hanging="360"/>
      </w:pPr>
      <w:rPr>
        <w:rFonts w:ascii="Courier New" w:hAnsi="Courier New" w:cs="Courier New" w:hint="default"/>
      </w:rPr>
    </w:lvl>
    <w:lvl w:ilvl="5" w:tplc="40090005" w:tentative="1">
      <w:start w:val="1"/>
      <w:numFmt w:val="bullet"/>
      <w:lvlText w:val=""/>
      <w:lvlJc w:val="left"/>
      <w:pPr>
        <w:ind w:left="4679" w:hanging="360"/>
      </w:pPr>
      <w:rPr>
        <w:rFonts w:ascii="Wingdings" w:hAnsi="Wingdings" w:hint="default"/>
      </w:rPr>
    </w:lvl>
    <w:lvl w:ilvl="6" w:tplc="40090001" w:tentative="1">
      <w:start w:val="1"/>
      <w:numFmt w:val="bullet"/>
      <w:lvlText w:val=""/>
      <w:lvlJc w:val="left"/>
      <w:pPr>
        <w:ind w:left="5399" w:hanging="360"/>
      </w:pPr>
      <w:rPr>
        <w:rFonts w:ascii="Symbol" w:hAnsi="Symbol" w:hint="default"/>
      </w:rPr>
    </w:lvl>
    <w:lvl w:ilvl="7" w:tplc="40090003" w:tentative="1">
      <w:start w:val="1"/>
      <w:numFmt w:val="bullet"/>
      <w:lvlText w:val="o"/>
      <w:lvlJc w:val="left"/>
      <w:pPr>
        <w:ind w:left="6119" w:hanging="360"/>
      </w:pPr>
      <w:rPr>
        <w:rFonts w:ascii="Courier New" w:hAnsi="Courier New" w:cs="Courier New" w:hint="default"/>
      </w:rPr>
    </w:lvl>
    <w:lvl w:ilvl="8" w:tplc="40090005" w:tentative="1">
      <w:start w:val="1"/>
      <w:numFmt w:val="bullet"/>
      <w:lvlText w:val=""/>
      <w:lvlJc w:val="left"/>
      <w:pPr>
        <w:ind w:left="6839" w:hanging="360"/>
      </w:pPr>
      <w:rPr>
        <w:rFonts w:ascii="Wingdings" w:hAnsi="Wingdings" w:hint="default"/>
      </w:rPr>
    </w:lvl>
  </w:abstractNum>
  <w:abstractNum w:abstractNumId="8" w15:restartNumberingAfterBreak="0">
    <w:nsid w:val="72BC6C56"/>
    <w:multiLevelType w:val="hybridMultilevel"/>
    <w:tmpl w:val="FCD28A6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4"/>
  </w:num>
  <w:num w:numId="4">
    <w:abstractNumId w:val="5"/>
  </w:num>
  <w:num w:numId="5">
    <w:abstractNumId w:val="7"/>
  </w:num>
  <w:num w:numId="6">
    <w:abstractNumId w:val="2"/>
  </w:num>
  <w:num w:numId="7">
    <w:abstractNumId w:val="3"/>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5CD"/>
    <w:rsid w:val="00130254"/>
    <w:rsid w:val="00147897"/>
    <w:rsid w:val="00296A0E"/>
    <w:rsid w:val="002A1424"/>
    <w:rsid w:val="002E5773"/>
    <w:rsid w:val="00317381"/>
    <w:rsid w:val="003C66BF"/>
    <w:rsid w:val="003E572D"/>
    <w:rsid w:val="005901B3"/>
    <w:rsid w:val="005E44D6"/>
    <w:rsid w:val="005F6402"/>
    <w:rsid w:val="00734E95"/>
    <w:rsid w:val="007915CD"/>
    <w:rsid w:val="00943933"/>
    <w:rsid w:val="009601E7"/>
    <w:rsid w:val="00963825"/>
    <w:rsid w:val="00C538E5"/>
    <w:rsid w:val="00CE3867"/>
    <w:rsid w:val="00F668B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18326"/>
  <w15:chartTrackingRefBased/>
  <w15:docId w15:val="{B65D9462-DE1B-4ECC-9BC0-FAEF17A5E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668B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668B1"/>
    <w:rPr>
      <w:sz w:val="20"/>
      <w:szCs w:val="20"/>
    </w:rPr>
  </w:style>
  <w:style w:type="character" w:styleId="FootnoteReference">
    <w:name w:val="footnote reference"/>
    <w:basedOn w:val="DefaultParagraphFont"/>
    <w:uiPriority w:val="99"/>
    <w:semiHidden/>
    <w:unhideWhenUsed/>
    <w:rsid w:val="00F668B1"/>
    <w:rPr>
      <w:vertAlign w:val="superscript"/>
    </w:rPr>
  </w:style>
  <w:style w:type="paragraph" w:styleId="ListParagraph">
    <w:name w:val="List Paragraph"/>
    <w:basedOn w:val="Normal"/>
    <w:uiPriority w:val="34"/>
    <w:qFormat/>
    <w:rsid w:val="00C538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7972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172504-5E32-46D3-A6F9-9BEB6C3CDD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358</TotalTime>
  <Pages>11</Pages>
  <Words>3303</Words>
  <Characters>18831</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Abhishek Bhardwaj</dc:creator>
  <cp:keywords/>
  <dc:description/>
  <cp:lastModifiedBy>Abhishek Bhardwaj</cp:lastModifiedBy>
  <cp:revision>7</cp:revision>
  <dcterms:created xsi:type="dcterms:W3CDTF">2022-01-29T12:30:00Z</dcterms:created>
  <dcterms:modified xsi:type="dcterms:W3CDTF">2022-02-15T11:42:00Z</dcterms:modified>
</cp:coreProperties>
</file>